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970D" w14:textId="50378BEE" w:rsidR="00770666" w:rsidRPr="000F168D" w:rsidRDefault="00770666" w:rsidP="00770666">
      <w:pPr>
        <w:shd w:val="clear" w:color="auto" w:fill="FFFFFF"/>
        <w:ind w:left="6372" w:firstLine="708"/>
      </w:pPr>
      <w:r w:rsidRPr="000F168D">
        <w:t>Iktatószám:</w:t>
      </w:r>
    </w:p>
    <w:p w14:paraId="7EDBAF80" w14:textId="77777777" w:rsidR="00770666" w:rsidRPr="000F168D" w:rsidRDefault="00770666" w:rsidP="00770666">
      <w:pPr>
        <w:shd w:val="clear" w:color="auto" w:fill="FFFFFF"/>
        <w:ind w:left="562"/>
        <w:jc w:val="center"/>
        <w:rPr>
          <w:b/>
        </w:rPr>
      </w:pPr>
    </w:p>
    <w:p w14:paraId="0F26F277" w14:textId="77777777" w:rsidR="00770666" w:rsidRPr="000F168D" w:rsidRDefault="00770666" w:rsidP="00770666">
      <w:pPr>
        <w:shd w:val="clear" w:color="auto" w:fill="FFFFFF"/>
        <w:ind w:left="562"/>
        <w:jc w:val="center"/>
        <w:rPr>
          <w:b/>
        </w:rPr>
      </w:pPr>
    </w:p>
    <w:p w14:paraId="4CE8C346" w14:textId="3BAA4BB3" w:rsidR="00770666" w:rsidRPr="000F168D" w:rsidRDefault="00770666" w:rsidP="00770666">
      <w:pPr>
        <w:shd w:val="clear" w:color="auto" w:fill="FFFFFF"/>
        <w:ind w:left="562"/>
        <w:jc w:val="center"/>
        <w:rPr>
          <w:b/>
        </w:rPr>
      </w:pPr>
      <w:r w:rsidRPr="000F168D">
        <w:rPr>
          <w:b/>
        </w:rPr>
        <w:t>CSILLAGÁSZATI ÉS FÖLDTUDOMÁNYI KUTATÓKÖZPONT</w:t>
      </w:r>
    </w:p>
    <w:p w14:paraId="18984559" w14:textId="77777777" w:rsidR="00770666" w:rsidRPr="000F168D" w:rsidRDefault="00770666" w:rsidP="00770666">
      <w:pPr>
        <w:pStyle w:val="Doctitle"/>
        <w:jc w:val="both"/>
        <w:rPr>
          <w:sz w:val="24"/>
          <w:szCs w:val="24"/>
        </w:rPr>
      </w:pPr>
    </w:p>
    <w:p w14:paraId="24A936E8" w14:textId="77777777" w:rsidR="00770666" w:rsidRPr="000F168D" w:rsidRDefault="00770666" w:rsidP="00770666">
      <w:pPr>
        <w:pStyle w:val="Doctitle"/>
        <w:jc w:val="both"/>
        <w:rPr>
          <w:b w:val="0"/>
          <w:sz w:val="24"/>
          <w:szCs w:val="24"/>
        </w:rPr>
      </w:pPr>
    </w:p>
    <w:p w14:paraId="0AAC3861" w14:textId="77777777" w:rsidR="00770666" w:rsidRPr="000F168D" w:rsidRDefault="00770666" w:rsidP="00770666">
      <w:pPr>
        <w:pStyle w:val="Doctitle"/>
        <w:rPr>
          <w:smallCaps w:val="0"/>
          <w:sz w:val="24"/>
          <w:szCs w:val="24"/>
          <w:lang w:eastAsia="hu-HU"/>
        </w:rPr>
      </w:pPr>
      <w:r w:rsidRPr="000F168D">
        <w:rPr>
          <w:smallCaps w:val="0"/>
          <w:sz w:val="24"/>
          <w:szCs w:val="24"/>
          <w:lang w:eastAsia="hu-HU"/>
        </w:rPr>
        <w:t>Visszaélés-bejelentési szabályzat</w:t>
      </w:r>
    </w:p>
    <w:p w14:paraId="0BFB8967" w14:textId="77777777" w:rsidR="00770666" w:rsidRPr="000F168D" w:rsidRDefault="00770666" w:rsidP="00770666">
      <w:pPr>
        <w:pStyle w:val="Doctitle"/>
        <w:jc w:val="both"/>
        <w:rPr>
          <w:b w:val="0"/>
          <w:sz w:val="24"/>
          <w:szCs w:val="24"/>
        </w:rPr>
      </w:pPr>
    </w:p>
    <w:p w14:paraId="4BD2F5AE" w14:textId="77777777" w:rsidR="00770666" w:rsidRPr="000F168D" w:rsidRDefault="00770666" w:rsidP="00770666">
      <w:pPr>
        <w:pStyle w:val="Doctitle"/>
        <w:jc w:val="both"/>
        <w:rPr>
          <w:b w:val="0"/>
          <w:sz w:val="24"/>
          <w:szCs w:val="24"/>
        </w:rPr>
      </w:pPr>
    </w:p>
    <w:p w14:paraId="7727F610" w14:textId="77777777" w:rsidR="00770666" w:rsidRPr="000F168D" w:rsidRDefault="00770666" w:rsidP="00770666">
      <w:pPr>
        <w:pStyle w:val="Doctitle"/>
        <w:jc w:val="both"/>
        <w:rPr>
          <w:b w:val="0"/>
          <w:sz w:val="24"/>
          <w:szCs w:val="24"/>
        </w:rPr>
      </w:pPr>
    </w:p>
    <w:p w14:paraId="5317CC8E" w14:textId="77777777" w:rsidR="00770666" w:rsidRPr="000F168D" w:rsidRDefault="00770666" w:rsidP="00770666">
      <w:pPr>
        <w:pStyle w:val="Normlbehzs"/>
        <w:ind w:left="0"/>
        <w:rPr>
          <w:szCs w:val="24"/>
        </w:rPr>
      </w:pPr>
    </w:p>
    <w:p w14:paraId="530F5075" w14:textId="77777777" w:rsidR="00770666" w:rsidRPr="000F168D" w:rsidRDefault="00770666" w:rsidP="00770666">
      <w:pPr>
        <w:pStyle w:val="Normlbehzs"/>
        <w:ind w:left="0"/>
        <w:rPr>
          <w:szCs w:val="24"/>
        </w:rPr>
      </w:pPr>
    </w:p>
    <w:p w14:paraId="0D8E6F6D" w14:textId="77777777" w:rsidR="00770666" w:rsidRPr="000F168D" w:rsidRDefault="00770666" w:rsidP="00770666">
      <w:pPr>
        <w:pStyle w:val="Normlbehzs"/>
        <w:ind w:left="0"/>
        <w:rPr>
          <w:szCs w:val="24"/>
        </w:rPr>
      </w:pPr>
    </w:p>
    <w:p w14:paraId="2C5550B0" w14:textId="77777777" w:rsidR="00770666" w:rsidRPr="000F168D" w:rsidRDefault="00770666" w:rsidP="00770666">
      <w:pPr>
        <w:pStyle w:val="Normlbehzs"/>
        <w:ind w:left="0"/>
        <w:rPr>
          <w:szCs w:val="24"/>
        </w:rPr>
      </w:pPr>
    </w:p>
    <w:p w14:paraId="60052A3B" w14:textId="77777777" w:rsidR="00770666" w:rsidRPr="000F168D" w:rsidRDefault="00770666" w:rsidP="00770666">
      <w:pPr>
        <w:pStyle w:val="Normlbehzs"/>
        <w:ind w:left="0"/>
        <w:rPr>
          <w:szCs w:val="24"/>
        </w:rPr>
      </w:pPr>
    </w:p>
    <w:p w14:paraId="4131FF69" w14:textId="77777777" w:rsidR="00770666" w:rsidRPr="000F168D" w:rsidRDefault="00770666" w:rsidP="00770666"/>
    <w:p w14:paraId="36204127" w14:textId="77777777" w:rsidR="00770666" w:rsidRPr="000F168D" w:rsidRDefault="00770666" w:rsidP="00770666">
      <w:r w:rsidRPr="000F168D">
        <w:t>Összeállította és jóváhagyásra előterjesztette:</w:t>
      </w:r>
    </w:p>
    <w:p w14:paraId="0E703F20" w14:textId="77777777" w:rsidR="00770666" w:rsidRPr="000F168D" w:rsidRDefault="00770666" w:rsidP="00770666"/>
    <w:p w14:paraId="03326CD2" w14:textId="77777777" w:rsidR="00770666" w:rsidRDefault="00770666" w:rsidP="00770666"/>
    <w:p w14:paraId="04627446" w14:textId="77777777" w:rsidR="000F168D" w:rsidRPr="000F168D" w:rsidRDefault="000F168D" w:rsidP="00770666"/>
    <w:p w14:paraId="40855EA0" w14:textId="77777777" w:rsidR="00770666" w:rsidRPr="000F168D" w:rsidRDefault="00770666" w:rsidP="00770666"/>
    <w:p w14:paraId="578BEBA7" w14:textId="6A964CC7" w:rsidR="00770666" w:rsidRPr="000F168D" w:rsidRDefault="00770666" w:rsidP="00770666">
      <w:r w:rsidRPr="000F168D">
        <w:t xml:space="preserve">2023. </w:t>
      </w:r>
      <w:r w:rsidR="00930E3B">
        <w:t>09.28</w:t>
      </w:r>
      <w:r w:rsidRPr="000F168D">
        <w:t xml:space="preserve"> </w:t>
      </w:r>
      <w:r w:rsidRPr="000F168D">
        <w:tab/>
      </w:r>
      <w:r w:rsidRPr="000F168D">
        <w:tab/>
      </w:r>
      <w:r w:rsidRPr="000F168D">
        <w:t xml:space="preserve">dr Kéri Ádám </w:t>
      </w:r>
    </w:p>
    <w:p w14:paraId="2DDC5A1C" w14:textId="77777777" w:rsidR="00770666" w:rsidRPr="000F168D" w:rsidRDefault="00770666" w:rsidP="00770666">
      <w:r w:rsidRPr="000F168D">
        <w:t>CSFK szerződéses külső jogi partner</w:t>
      </w:r>
    </w:p>
    <w:p w14:paraId="7979A1FC" w14:textId="77777777" w:rsidR="00770666" w:rsidRPr="000F168D" w:rsidRDefault="00770666" w:rsidP="00770666"/>
    <w:p w14:paraId="4A483B21" w14:textId="77777777" w:rsidR="00770666" w:rsidRPr="000F168D" w:rsidRDefault="00770666" w:rsidP="00770666"/>
    <w:p w14:paraId="5011411F" w14:textId="77777777" w:rsidR="00770666" w:rsidRDefault="00770666" w:rsidP="00770666">
      <w:pPr>
        <w:jc w:val="center"/>
      </w:pPr>
    </w:p>
    <w:p w14:paraId="2D68B931" w14:textId="77777777" w:rsidR="000F168D" w:rsidRDefault="000F168D" w:rsidP="00770666">
      <w:pPr>
        <w:jc w:val="center"/>
      </w:pPr>
    </w:p>
    <w:p w14:paraId="6E33A2E5" w14:textId="77777777" w:rsidR="000F168D" w:rsidRPr="000F168D" w:rsidRDefault="000F168D" w:rsidP="00770666">
      <w:pPr>
        <w:jc w:val="center"/>
      </w:pPr>
    </w:p>
    <w:p w14:paraId="40FC1DD3" w14:textId="77777777" w:rsidR="00770666" w:rsidRPr="000F168D" w:rsidRDefault="00770666" w:rsidP="00770666">
      <w:pPr>
        <w:jc w:val="center"/>
      </w:pPr>
    </w:p>
    <w:p w14:paraId="23110025" w14:textId="77777777" w:rsidR="00770666" w:rsidRPr="000F168D" w:rsidRDefault="00770666" w:rsidP="00770666">
      <w:r w:rsidRPr="000F168D">
        <w:t>Jóváhagyom:</w:t>
      </w:r>
    </w:p>
    <w:p w14:paraId="5E3F52C6" w14:textId="0ACA6043" w:rsidR="00770666" w:rsidRPr="000F168D" w:rsidRDefault="00770666" w:rsidP="00770666">
      <w:r w:rsidRPr="000F168D">
        <w:t>2023.</w:t>
      </w:r>
      <w:r w:rsidRPr="000F168D">
        <w:t>10.......</w:t>
      </w:r>
    </w:p>
    <w:p w14:paraId="3E574CC6" w14:textId="77777777" w:rsidR="00770666" w:rsidRPr="000F168D" w:rsidRDefault="00770666" w:rsidP="00770666"/>
    <w:p w14:paraId="36290F6A" w14:textId="77777777" w:rsidR="00770666" w:rsidRPr="000F168D" w:rsidRDefault="00770666" w:rsidP="00770666">
      <w:pPr>
        <w:jc w:val="center"/>
      </w:pPr>
      <w:r w:rsidRPr="000F168D">
        <w:t>Kiss László</w:t>
      </w:r>
    </w:p>
    <w:p w14:paraId="604113EC" w14:textId="77777777" w:rsidR="00770666" w:rsidRPr="000F168D" w:rsidRDefault="00770666" w:rsidP="00770666">
      <w:pPr>
        <w:jc w:val="center"/>
      </w:pPr>
      <w:r w:rsidRPr="000F168D">
        <w:t>főigazgató</w:t>
      </w:r>
    </w:p>
    <w:p w14:paraId="3BA62A56" w14:textId="77777777" w:rsidR="00770666" w:rsidRPr="000F168D" w:rsidRDefault="00770666" w:rsidP="00770666">
      <w:pPr>
        <w:jc w:val="center"/>
      </w:pPr>
    </w:p>
    <w:p w14:paraId="70B30AC4" w14:textId="77777777" w:rsidR="00770666" w:rsidRPr="000F168D" w:rsidRDefault="00770666" w:rsidP="00770666">
      <w:pPr>
        <w:jc w:val="center"/>
      </w:pPr>
    </w:p>
    <w:p w14:paraId="1FB10621" w14:textId="77777777" w:rsidR="00770666" w:rsidRPr="000F168D" w:rsidRDefault="00770666" w:rsidP="00770666">
      <w:pPr>
        <w:jc w:val="center"/>
      </w:pPr>
    </w:p>
    <w:p w14:paraId="6544DC74" w14:textId="77777777" w:rsidR="00770666" w:rsidRPr="000F168D" w:rsidRDefault="00770666" w:rsidP="00770666">
      <w:pPr>
        <w:jc w:val="center"/>
        <w:rPr>
          <w:b/>
        </w:rPr>
      </w:pPr>
      <w:r w:rsidRPr="000F168D">
        <w:rPr>
          <w:b/>
        </w:rPr>
        <w:t>2023.</w:t>
      </w:r>
    </w:p>
    <w:p w14:paraId="1DCA3E63" w14:textId="77777777" w:rsidR="00770666" w:rsidRPr="000F168D" w:rsidRDefault="00770666" w:rsidP="00770666"/>
    <w:p w14:paraId="72C8132F" w14:textId="77777777" w:rsidR="00770666" w:rsidRPr="000F168D" w:rsidRDefault="00770666" w:rsidP="00770666"/>
    <w:p w14:paraId="5D41A9E9" w14:textId="55F1DFB4" w:rsidR="00770666" w:rsidRPr="000F168D" w:rsidRDefault="00770666">
      <w:pPr>
        <w:spacing w:after="160" w:line="259" w:lineRule="auto"/>
        <w:rPr>
          <w:b/>
          <w:color w:val="000000" w:themeColor="text1"/>
        </w:rPr>
      </w:pPr>
      <w:r w:rsidRPr="000F168D">
        <w:rPr>
          <w:b/>
          <w:color w:val="000000" w:themeColor="text1"/>
        </w:rPr>
        <w:br w:type="page"/>
      </w:r>
    </w:p>
    <w:p w14:paraId="3B1FCDD7" w14:textId="77777777" w:rsidR="00770666" w:rsidRPr="000F168D" w:rsidRDefault="00770666">
      <w:pPr>
        <w:spacing w:after="160" w:line="259" w:lineRule="auto"/>
        <w:rPr>
          <w:b/>
          <w:color w:val="000000" w:themeColor="text1"/>
        </w:rPr>
      </w:pPr>
    </w:p>
    <w:p w14:paraId="48F4F4F6" w14:textId="0EC601D9" w:rsidR="00ED749F" w:rsidRPr="000F168D" w:rsidRDefault="00ED749F" w:rsidP="00FF16D0">
      <w:pPr>
        <w:jc w:val="center"/>
        <w:rPr>
          <w:b/>
          <w:color w:val="000000" w:themeColor="text1"/>
        </w:rPr>
      </w:pPr>
      <w:r w:rsidRPr="000F168D">
        <w:rPr>
          <w:b/>
          <w:color w:val="000000" w:themeColor="text1"/>
        </w:rPr>
        <w:t>VISSZAÉLÉS-BEJELENTÉSI SZABÁLYZAT</w:t>
      </w:r>
    </w:p>
    <w:tbl>
      <w:tblPr>
        <w:tblStyle w:val="Tblzategyszer1"/>
        <w:tblW w:w="0" w:type="auto"/>
        <w:tblLook w:val="04A0" w:firstRow="1" w:lastRow="0" w:firstColumn="1" w:lastColumn="0" w:noHBand="0" w:noVBand="1"/>
      </w:tblPr>
      <w:tblGrid>
        <w:gridCol w:w="4531"/>
        <w:gridCol w:w="4531"/>
      </w:tblGrid>
      <w:tr w:rsidR="00ED749F" w:rsidRPr="000F168D" w14:paraId="48D7F94E" w14:textId="77777777" w:rsidTr="00ED7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F85BEDF" w14:textId="7750279A" w:rsidR="00ED749F" w:rsidRPr="000F168D" w:rsidRDefault="00ED749F" w:rsidP="00ED749F">
            <w:pPr>
              <w:jc w:val="center"/>
              <w:rPr>
                <w:b w:val="0"/>
                <w:color w:val="000000" w:themeColor="text1"/>
              </w:rPr>
            </w:pPr>
            <w:r w:rsidRPr="000F168D">
              <w:rPr>
                <w:b w:val="0"/>
                <w:color w:val="000000" w:themeColor="text1"/>
              </w:rPr>
              <w:t>A szervezet neve:</w:t>
            </w:r>
          </w:p>
        </w:tc>
        <w:tc>
          <w:tcPr>
            <w:tcW w:w="4531" w:type="dxa"/>
          </w:tcPr>
          <w:p w14:paraId="58F84E12" w14:textId="2814CBC7" w:rsidR="00ED749F" w:rsidRPr="000F168D" w:rsidRDefault="00EB3306" w:rsidP="00ED749F">
            <w:pPr>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0F168D">
              <w:rPr>
                <w:bCs w:val="0"/>
                <w:color w:val="000000" w:themeColor="text1"/>
              </w:rPr>
              <w:t>Csillagászati és Földtudományi Kutatóközpont</w:t>
            </w:r>
          </w:p>
        </w:tc>
      </w:tr>
      <w:tr w:rsidR="00ED749F" w:rsidRPr="000F168D" w14:paraId="7E6B4D8A" w14:textId="77777777" w:rsidTr="00ED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0840D57" w14:textId="62FE5AB6" w:rsidR="00ED749F" w:rsidRPr="000F168D" w:rsidRDefault="00ED749F" w:rsidP="00ED749F">
            <w:pPr>
              <w:jc w:val="center"/>
              <w:rPr>
                <w:b w:val="0"/>
                <w:color w:val="000000" w:themeColor="text1"/>
              </w:rPr>
            </w:pPr>
            <w:r w:rsidRPr="000F168D">
              <w:rPr>
                <w:b w:val="0"/>
                <w:color w:val="000000" w:themeColor="text1"/>
              </w:rPr>
              <w:t>A szervezet székhelye:</w:t>
            </w:r>
          </w:p>
        </w:tc>
        <w:tc>
          <w:tcPr>
            <w:tcW w:w="4531" w:type="dxa"/>
          </w:tcPr>
          <w:p w14:paraId="05007A95" w14:textId="69F7D9FC" w:rsidR="00ED749F" w:rsidRPr="000F168D" w:rsidRDefault="00EB3306" w:rsidP="00ED749F">
            <w:pPr>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sidRPr="000F168D">
              <w:rPr>
                <w:bCs/>
                <w:color w:val="000000" w:themeColor="text1"/>
              </w:rPr>
              <w:t>1121 Budapest Konkoly Thege Miklós út 15-17.</w:t>
            </w:r>
          </w:p>
        </w:tc>
      </w:tr>
      <w:tr w:rsidR="00ED749F" w:rsidRPr="000F168D" w14:paraId="491920EA" w14:textId="77777777" w:rsidTr="00ED749F">
        <w:tc>
          <w:tcPr>
            <w:cnfStyle w:val="001000000000" w:firstRow="0" w:lastRow="0" w:firstColumn="1" w:lastColumn="0" w:oddVBand="0" w:evenVBand="0" w:oddHBand="0" w:evenHBand="0" w:firstRowFirstColumn="0" w:firstRowLastColumn="0" w:lastRowFirstColumn="0" w:lastRowLastColumn="0"/>
            <w:tcW w:w="4531" w:type="dxa"/>
          </w:tcPr>
          <w:p w14:paraId="40752FD4" w14:textId="266B3847" w:rsidR="00ED749F" w:rsidRPr="000F168D" w:rsidRDefault="00ED749F" w:rsidP="00ED749F">
            <w:pPr>
              <w:jc w:val="center"/>
              <w:rPr>
                <w:b w:val="0"/>
                <w:color w:val="000000" w:themeColor="text1"/>
              </w:rPr>
            </w:pPr>
            <w:r w:rsidRPr="000F168D">
              <w:rPr>
                <w:b w:val="0"/>
                <w:color w:val="000000" w:themeColor="text1"/>
              </w:rPr>
              <w:t>Törzskönyvi azonosító szám</w:t>
            </w:r>
            <w:r w:rsidR="0094364B" w:rsidRPr="000F168D">
              <w:rPr>
                <w:b w:val="0"/>
                <w:color w:val="000000" w:themeColor="text1"/>
              </w:rPr>
              <w:t>a</w:t>
            </w:r>
            <w:r w:rsidRPr="000F168D">
              <w:rPr>
                <w:b w:val="0"/>
                <w:color w:val="000000" w:themeColor="text1"/>
              </w:rPr>
              <w:t>:</w:t>
            </w:r>
          </w:p>
        </w:tc>
        <w:tc>
          <w:tcPr>
            <w:tcW w:w="4531" w:type="dxa"/>
          </w:tcPr>
          <w:p w14:paraId="6AB8A830" w14:textId="33362AB1" w:rsidR="00ED749F" w:rsidRPr="000F168D" w:rsidRDefault="00EB3306" w:rsidP="00ED749F">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0F168D">
              <w:rPr>
                <w:bCs/>
                <w:color w:val="000000" w:themeColor="text1"/>
              </w:rPr>
              <w:t>300322</w:t>
            </w:r>
          </w:p>
        </w:tc>
      </w:tr>
      <w:tr w:rsidR="00ED749F" w:rsidRPr="000F168D" w14:paraId="380C82EE" w14:textId="77777777" w:rsidTr="00ED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58A95CD" w14:textId="475A426F" w:rsidR="00ED749F" w:rsidRPr="000F168D" w:rsidRDefault="00ED749F" w:rsidP="00ED749F">
            <w:pPr>
              <w:jc w:val="center"/>
              <w:rPr>
                <w:b w:val="0"/>
                <w:color w:val="000000" w:themeColor="text1"/>
              </w:rPr>
            </w:pPr>
            <w:r w:rsidRPr="000F168D">
              <w:rPr>
                <w:b w:val="0"/>
                <w:color w:val="000000" w:themeColor="text1"/>
              </w:rPr>
              <w:t>Képviselő neve:</w:t>
            </w:r>
          </w:p>
        </w:tc>
        <w:tc>
          <w:tcPr>
            <w:tcW w:w="4531" w:type="dxa"/>
          </w:tcPr>
          <w:p w14:paraId="60A1BE40" w14:textId="09BA4D6C" w:rsidR="00ED749F" w:rsidRPr="000F168D" w:rsidRDefault="00EB3306" w:rsidP="00ED749F">
            <w:pPr>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sidRPr="000F168D">
              <w:rPr>
                <w:bCs/>
                <w:color w:val="000000" w:themeColor="text1"/>
              </w:rPr>
              <w:t>Dr. Kiss László főigazgató</w:t>
            </w:r>
          </w:p>
        </w:tc>
      </w:tr>
    </w:tbl>
    <w:p w14:paraId="42636DD1" w14:textId="77777777" w:rsidR="00ED749F" w:rsidRPr="000F168D" w:rsidRDefault="00ED749F" w:rsidP="00ED749F">
      <w:pPr>
        <w:ind w:left="360"/>
        <w:jc w:val="center"/>
        <w:outlineLvl w:val="0"/>
        <w:rPr>
          <w:b/>
        </w:rPr>
      </w:pPr>
      <w:bookmarkStart w:id="0" w:name="_Toc117843296"/>
      <w:bookmarkStart w:id="1" w:name="_Toc117248810"/>
      <w:bookmarkStart w:id="2" w:name="_Toc83974717"/>
      <w:bookmarkStart w:id="3" w:name="_Toc21942027"/>
      <w:bookmarkStart w:id="4" w:name="_Toc21427548"/>
      <w:bookmarkStart w:id="5" w:name="_Toc21425245"/>
      <w:bookmarkStart w:id="6" w:name="_Toc21425113"/>
      <w:bookmarkStart w:id="7" w:name="_Toc138772509"/>
    </w:p>
    <w:p w14:paraId="522D1B3D" w14:textId="37333420" w:rsidR="00E31F4F" w:rsidRPr="000F168D" w:rsidRDefault="00E31F4F" w:rsidP="00ED749F">
      <w:pPr>
        <w:numPr>
          <w:ilvl w:val="0"/>
          <w:numId w:val="2"/>
        </w:numPr>
        <w:jc w:val="center"/>
        <w:outlineLvl w:val="0"/>
        <w:rPr>
          <w:b/>
        </w:rPr>
      </w:pPr>
      <w:r w:rsidRPr="000F168D">
        <w:rPr>
          <w:b/>
        </w:rPr>
        <w:t>A SZABÁLYZAT KIADÁSÁNAK CÉLJA</w:t>
      </w:r>
      <w:bookmarkEnd w:id="0"/>
      <w:bookmarkEnd w:id="1"/>
      <w:bookmarkEnd w:id="2"/>
      <w:bookmarkEnd w:id="3"/>
      <w:bookmarkEnd w:id="4"/>
      <w:bookmarkEnd w:id="5"/>
      <w:bookmarkEnd w:id="6"/>
      <w:bookmarkEnd w:id="7"/>
    </w:p>
    <w:p w14:paraId="0BAF465B" w14:textId="0749AA1B" w:rsidR="00ED749F" w:rsidRPr="000F168D" w:rsidRDefault="00E31F4F" w:rsidP="00ED749F">
      <w:pPr>
        <w:jc w:val="both"/>
        <w:rPr>
          <w:b/>
          <w:bCs/>
        </w:rPr>
      </w:pPr>
      <w:bookmarkStart w:id="8" w:name="_Hlk138425923"/>
      <w:r w:rsidRPr="000F168D">
        <w:t xml:space="preserve">Jelen szabályzat kiadásának célja a </w:t>
      </w:r>
      <w:r w:rsidR="00254CCE" w:rsidRPr="000F168D">
        <w:t xml:space="preserve">panaszokról, a közérdekű bejelentésekről, valamint a visszaélések bejelentésével összefüggő szabályokról szóló </w:t>
      </w:r>
      <w:r w:rsidRPr="000F168D">
        <w:t xml:space="preserve">2023. évi XXV. törvényben </w:t>
      </w:r>
      <w:r w:rsidR="00254CCE" w:rsidRPr="000F168D">
        <w:t xml:space="preserve">(továbbiakban: Panasztörvény) </w:t>
      </w:r>
      <w:r w:rsidRPr="000F168D">
        <w:t xml:space="preserve">foglaltaknak való megfelelés </w:t>
      </w:r>
      <w:r w:rsidR="00C675D8" w:rsidRPr="000F168D">
        <w:t xml:space="preserve">és a bejelentő személyek magas szintű védelmének biztosítása. </w:t>
      </w:r>
    </w:p>
    <w:p w14:paraId="71D81350" w14:textId="77777777" w:rsidR="00472AEC" w:rsidRPr="000F168D" w:rsidRDefault="00472AEC" w:rsidP="00ED749F">
      <w:pPr>
        <w:jc w:val="both"/>
        <w:rPr>
          <w:b/>
          <w:bCs/>
        </w:rPr>
      </w:pPr>
    </w:p>
    <w:bookmarkEnd w:id="8"/>
    <w:p w14:paraId="5E1724CE" w14:textId="063E8033" w:rsidR="00E31F4F" w:rsidRPr="000F168D" w:rsidRDefault="00ED749F" w:rsidP="00ED749F">
      <w:pPr>
        <w:numPr>
          <w:ilvl w:val="0"/>
          <w:numId w:val="2"/>
        </w:numPr>
        <w:jc w:val="center"/>
        <w:outlineLvl w:val="0"/>
        <w:rPr>
          <w:b/>
        </w:rPr>
      </w:pPr>
      <w:r w:rsidRPr="000F168D">
        <w:rPr>
          <w:b/>
        </w:rPr>
        <w:t>HATÁLY</w:t>
      </w:r>
    </w:p>
    <w:p w14:paraId="2A627765" w14:textId="7AFD3354" w:rsidR="00D26580" w:rsidRPr="000F168D" w:rsidRDefault="00472AEC" w:rsidP="00ED749F">
      <w:pPr>
        <w:numPr>
          <w:ilvl w:val="1"/>
          <w:numId w:val="2"/>
        </w:numPr>
        <w:ind w:left="709" w:hanging="425"/>
        <w:jc w:val="both"/>
        <w:outlineLvl w:val="1"/>
        <w:rPr>
          <w:b/>
        </w:rPr>
      </w:pPr>
      <w:bookmarkStart w:id="9" w:name="_Toc117843298"/>
      <w:bookmarkStart w:id="10" w:name="_Toc117248812"/>
      <w:bookmarkStart w:id="11" w:name="_Toc83974719"/>
      <w:bookmarkStart w:id="12" w:name="_Toc21942029"/>
      <w:bookmarkStart w:id="13" w:name="_Toc21427550"/>
      <w:bookmarkStart w:id="14" w:name="_Toc21425247"/>
      <w:bookmarkStart w:id="15" w:name="_Toc21425115"/>
      <w:bookmarkStart w:id="16" w:name="_Toc138772511"/>
      <w:r w:rsidRPr="000F168D">
        <w:rPr>
          <w:b/>
        </w:rPr>
        <w:t>Személyi hatály</w:t>
      </w:r>
      <w:bookmarkEnd w:id="9"/>
      <w:bookmarkEnd w:id="10"/>
      <w:bookmarkEnd w:id="11"/>
      <w:bookmarkEnd w:id="12"/>
      <w:bookmarkEnd w:id="13"/>
      <w:bookmarkEnd w:id="14"/>
      <w:bookmarkEnd w:id="15"/>
      <w:bookmarkEnd w:id="16"/>
    </w:p>
    <w:p w14:paraId="459A7391" w14:textId="097AA523" w:rsidR="00867B84" w:rsidRPr="000F168D" w:rsidRDefault="00D26580" w:rsidP="00D26580">
      <w:pPr>
        <w:spacing w:before="120" w:after="120"/>
        <w:jc w:val="both"/>
      </w:pPr>
      <w:r w:rsidRPr="000F168D">
        <w:t>A jelen szabályzat a</w:t>
      </w:r>
      <w:r w:rsidR="00ED749F" w:rsidRPr="000F168D">
        <w:t xml:space="preserve"> </w:t>
      </w:r>
      <w:r w:rsidR="00EB3306" w:rsidRPr="000F168D">
        <w:t>Csillagászati és Földtudományi Kutatóközpont</w:t>
      </w:r>
      <w:r w:rsidRPr="000F168D">
        <w:t xml:space="preserve"> </w:t>
      </w:r>
      <w:r w:rsidR="001614F2" w:rsidRPr="000F168D">
        <w:t xml:space="preserve">(továbbiakban: </w:t>
      </w:r>
      <w:r w:rsidR="00EB3306" w:rsidRPr="000F168D">
        <w:t>CSF</w:t>
      </w:r>
      <w:r w:rsidR="00ED749F" w:rsidRPr="000F168D">
        <w:t>K</w:t>
      </w:r>
      <w:r w:rsidR="001614F2" w:rsidRPr="000F168D">
        <w:t xml:space="preserve">) </w:t>
      </w:r>
      <w:r w:rsidR="00ED749F" w:rsidRPr="000F168D">
        <w:t xml:space="preserve">által </w:t>
      </w:r>
      <w:r w:rsidR="00EB3306" w:rsidRPr="000F168D">
        <w:t>munkaviszonyban vagy foglalkoztatásra irányuló egyéb jogviszonyban</w:t>
      </w:r>
      <w:r w:rsidR="00ED749F" w:rsidRPr="000F168D">
        <w:t xml:space="preserve"> foglalkoztatott</w:t>
      </w:r>
      <w:r w:rsidR="00EB3306" w:rsidRPr="000F168D">
        <w:t xml:space="preserve"> </w:t>
      </w:r>
      <w:r w:rsidR="00ED749F" w:rsidRPr="000F168D">
        <w:t>személy</w:t>
      </w:r>
      <w:r w:rsidR="00EB3306" w:rsidRPr="000F168D">
        <w:t>ek</w:t>
      </w:r>
      <w:r w:rsidR="00ED749F" w:rsidRPr="000F168D">
        <w:t>re</w:t>
      </w:r>
      <w:r w:rsidR="00EB3306" w:rsidRPr="000F168D">
        <w:t>, továbbá a bejelentés tételére jogosult egyéb személyekre</w:t>
      </w:r>
      <w:r w:rsidR="00ED749F" w:rsidRPr="000F168D">
        <w:t xml:space="preserve"> terjed</w:t>
      </w:r>
      <w:r w:rsidR="00EB3306" w:rsidRPr="000F168D">
        <w:t xml:space="preserve"> ki</w:t>
      </w:r>
      <w:r w:rsidR="00ED749F" w:rsidRPr="000F168D">
        <w:t xml:space="preserve">. </w:t>
      </w:r>
    </w:p>
    <w:p w14:paraId="566EC868" w14:textId="77777777" w:rsidR="00ED749F" w:rsidRPr="000F168D" w:rsidRDefault="00ED749F" w:rsidP="00E31F4F"/>
    <w:p w14:paraId="26A59B5D" w14:textId="251E9589" w:rsidR="00E31F4F" w:rsidRPr="000F168D" w:rsidRDefault="00ED749F" w:rsidP="00E31F4F">
      <w:pPr>
        <w:numPr>
          <w:ilvl w:val="1"/>
          <w:numId w:val="2"/>
        </w:numPr>
        <w:ind w:left="709" w:hanging="425"/>
        <w:jc w:val="both"/>
        <w:outlineLvl w:val="1"/>
        <w:rPr>
          <w:b/>
        </w:rPr>
      </w:pPr>
      <w:r w:rsidRPr="000F168D">
        <w:rPr>
          <w:b/>
        </w:rPr>
        <w:t>Terület</w:t>
      </w:r>
      <w:r w:rsidR="00472AEC" w:rsidRPr="000F168D">
        <w:rPr>
          <w:b/>
        </w:rPr>
        <w:t>i hatály</w:t>
      </w:r>
    </w:p>
    <w:p w14:paraId="3A45FDCD" w14:textId="5CB35581" w:rsidR="00E31F4F" w:rsidRPr="000F168D" w:rsidRDefault="00E31F4F" w:rsidP="00E31F4F">
      <w:pPr>
        <w:spacing w:before="120" w:after="120"/>
        <w:jc w:val="both"/>
      </w:pPr>
      <w:r w:rsidRPr="000F168D">
        <w:t>Jelen szabályzat</w:t>
      </w:r>
      <w:r w:rsidR="00D26580" w:rsidRPr="000F168D">
        <w:t xml:space="preserve"> </w:t>
      </w:r>
      <w:r w:rsidR="000A2E3D" w:rsidRPr="000F168D">
        <w:t>a</w:t>
      </w:r>
      <w:r w:rsidR="00ED749F" w:rsidRPr="000F168D">
        <w:t xml:space="preserve"> </w:t>
      </w:r>
      <w:r w:rsidR="00EB3306" w:rsidRPr="000F168D">
        <w:t>CSFK</w:t>
      </w:r>
      <w:r w:rsidR="000A2E3D" w:rsidRPr="000F168D">
        <w:t xml:space="preserve"> belső visszaélés-bejelentési rendszeré</w:t>
      </w:r>
      <w:r w:rsidR="001614F2" w:rsidRPr="000F168D">
        <w:t>ről</w:t>
      </w:r>
      <w:r w:rsidR="00454B3E" w:rsidRPr="000F168D">
        <w:t xml:space="preserve"> </w:t>
      </w:r>
      <w:r w:rsidR="001614F2" w:rsidRPr="000F168D">
        <w:t>szól.</w:t>
      </w:r>
      <w:r w:rsidR="00454B3E" w:rsidRPr="000F168D">
        <w:t xml:space="preserve"> Jelen szabályzatban </w:t>
      </w:r>
      <w:r w:rsidR="001C4DB3" w:rsidRPr="000F168D">
        <w:t xml:space="preserve">foglalja össze </w:t>
      </w:r>
      <w:r w:rsidR="00ED749F" w:rsidRPr="000F168D">
        <w:t xml:space="preserve">a </w:t>
      </w:r>
      <w:r w:rsidR="00EB3306" w:rsidRPr="000F168D">
        <w:t>CSFK</w:t>
      </w:r>
      <w:r w:rsidR="00ED749F" w:rsidRPr="000F168D">
        <w:t xml:space="preserve"> </w:t>
      </w:r>
      <w:r w:rsidR="00454B3E" w:rsidRPr="000F168D">
        <w:t>a külső visszaélés-bejelentési rendszerekről, az eljárásban résztvevők jogairól és kötelezettségeiről, valamint az adatvédelmi rendelkezésekről</w:t>
      </w:r>
      <w:r w:rsidR="001C4DB3" w:rsidRPr="000F168D">
        <w:t xml:space="preserve"> szóló információkat is. </w:t>
      </w:r>
    </w:p>
    <w:p w14:paraId="25AA6CF0" w14:textId="77777777" w:rsidR="00472AEC" w:rsidRPr="000F168D" w:rsidRDefault="00472AEC" w:rsidP="00AB30E2">
      <w:pPr>
        <w:pStyle w:val="Listaszerbekezds"/>
        <w:numPr>
          <w:ilvl w:val="1"/>
          <w:numId w:val="2"/>
        </w:numPr>
        <w:ind w:left="643"/>
        <w:jc w:val="both"/>
      </w:pPr>
      <w:r w:rsidRPr="000F168D">
        <w:rPr>
          <w:b/>
        </w:rPr>
        <w:t>Tárgyi hatály</w:t>
      </w:r>
    </w:p>
    <w:p w14:paraId="6966085E" w14:textId="77777777" w:rsidR="00472AEC" w:rsidRPr="000F168D" w:rsidRDefault="00472AEC" w:rsidP="00AB30E2">
      <w:pPr>
        <w:jc w:val="both"/>
        <w:outlineLvl w:val="1"/>
        <w:rPr>
          <w:b/>
        </w:rPr>
      </w:pPr>
    </w:p>
    <w:p w14:paraId="162206E3" w14:textId="77777777" w:rsidR="00472AEC" w:rsidRPr="000F168D" w:rsidRDefault="00472AEC" w:rsidP="00472AEC">
      <w:pPr>
        <w:jc w:val="both"/>
        <w:outlineLvl w:val="1"/>
      </w:pPr>
      <w:r w:rsidRPr="000F168D">
        <w:t>A belső visszaélés-bejelentési rendszerben</w:t>
      </w:r>
      <w:r w:rsidRPr="000F168D">
        <w:rPr>
          <w:b/>
          <w:bCs/>
        </w:rPr>
        <w:t xml:space="preserve"> európai uniós jogi aktusokkal kapcsolatosan jogellenes vagy jogellenesnek feltételezett cselekményre vagy mulasztásra, illetve egyéb visszaélésre vonatkozó információt </w:t>
      </w:r>
      <w:r w:rsidRPr="000F168D">
        <w:t>lehet bejelenteni.</w:t>
      </w:r>
    </w:p>
    <w:p w14:paraId="326EE1D2" w14:textId="77777777" w:rsidR="00472AEC" w:rsidRPr="000F168D" w:rsidRDefault="00472AEC" w:rsidP="00472AEC">
      <w:pPr>
        <w:jc w:val="both"/>
        <w:outlineLvl w:val="1"/>
        <w:rPr>
          <w:b/>
          <w:bCs/>
          <w:color w:val="242021"/>
        </w:rPr>
      </w:pPr>
    </w:p>
    <w:p w14:paraId="62DA0755" w14:textId="77777777" w:rsidR="00472AEC" w:rsidRPr="000F168D" w:rsidRDefault="00472AEC" w:rsidP="00472AEC">
      <w:pPr>
        <w:spacing w:after="60"/>
        <w:jc w:val="both"/>
        <w:outlineLvl w:val="1"/>
      </w:pPr>
      <w:r w:rsidRPr="000F168D">
        <w:t>A Visszaélés-bejelentési Szabályzat rendelkezéseit csak akkor kell alkalmazni, ha az 1. melléklet szerinti európai uniós jogi aktus végrehajtására vagy az annak való megfelelés érdekében kiadott jogszabály vagy az Európai Unió általános hatályú, közvetlenül alkalmazandó, 1. melléklet szerinti kötelező jogi aktusa egyes visszaélések, jogsértések bejelentésére, az ezeket bejelentők védelmére vonatkozóan eltérő szabályokat nem állapít meg.</w:t>
      </w:r>
    </w:p>
    <w:p w14:paraId="57286D78" w14:textId="77777777" w:rsidR="0094364B" w:rsidRPr="000F168D" w:rsidRDefault="0094364B" w:rsidP="00E31F4F">
      <w:pPr>
        <w:spacing w:before="120" w:after="120"/>
        <w:jc w:val="both"/>
      </w:pPr>
    </w:p>
    <w:p w14:paraId="1FF3EDA5" w14:textId="1C89388F" w:rsidR="00E31F4F" w:rsidRPr="000F168D" w:rsidRDefault="00E31F4F" w:rsidP="00ED749F">
      <w:pPr>
        <w:numPr>
          <w:ilvl w:val="0"/>
          <w:numId w:val="2"/>
        </w:numPr>
        <w:jc w:val="center"/>
        <w:outlineLvl w:val="0"/>
        <w:rPr>
          <w:b/>
        </w:rPr>
      </w:pPr>
      <w:bookmarkStart w:id="17" w:name="_Toc117843300"/>
      <w:bookmarkStart w:id="18" w:name="_Toc117248814"/>
      <w:bookmarkStart w:id="19" w:name="_Toc83974721"/>
      <w:bookmarkStart w:id="20" w:name="_Toc21942031"/>
      <w:bookmarkStart w:id="21" w:name="_Toc21427552"/>
      <w:bookmarkStart w:id="22" w:name="_Toc21425249"/>
      <w:bookmarkStart w:id="23" w:name="_Toc21425117"/>
      <w:bookmarkStart w:id="24" w:name="_Toc138772513"/>
      <w:r w:rsidRPr="000F168D">
        <w:rPr>
          <w:b/>
        </w:rPr>
        <w:t>KAPCSOLÓDÓ JOGSZABÁLYOK</w:t>
      </w:r>
      <w:bookmarkEnd w:id="17"/>
      <w:bookmarkEnd w:id="18"/>
      <w:bookmarkEnd w:id="19"/>
      <w:bookmarkEnd w:id="20"/>
      <w:bookmarkEnd w:id="21"/>
      <w:bookmarkEnd w:id="22"/>
      <w:bookmarkEnd w:id="23"/>
      <w:bookmarkEnd w:id="24"/>
    </w:p>
    <w:p w14:paraId="6B5CE76A" w14:textId="2F48734F" w:rsidR="00153941" w:rsidRPr="000F168D" w:rsidRDefault="00153941" w:rsidP="00ED749F">
      <w:pPr>
        <w:pStyle w:val="Listaszerbekezds"/>
        <w:numPr>
          <w:ilvl w:val="0"/>
          <w:numId w:val="37"/>
        </w:numPr>
        <w:spacing w:before="120" w:after="120"/>
        <w:jc w:val="both"/>
      </w:pPr>
      <w:r w:rsidRPr="000F168D">
        <w:t>Az uniós jog megsértését bejelentő személyek védelméről szóló 2019/1937 Irányelv</w:t>
      </w:r>
    </w:p>
    <w:p w14:paraId="2032E51C" w14:textId="3706E1DB" w:rsidR="000A69D6" w:rsidRPr="000F168D" w:rsidRDefault="00413110" w:rsidP="00ED749F">
      <w:pPr>
        <w:pStyle w:val="Listaszerbekezds"/>
        <w:numPr>
          <w:ilvl w:val="0"/>
          <w:numId w:val="37"/>
        </w:numPr>
        <w:spacing w:before="120" w:after="120"/>
        <w:jc w:val="both"/>
      </w:pPr>
      <w:r w:rsidRPr="000F168D">
        <w:t xml:space="preserve">A panaszokról, a közérdekű bejelentésekről, valamint a visszaélések bejelentésével összefüggő szabályokról szóló </w:t>
      </w:r>
      <w:r w:rsidR="000A69D6" w:rsidRPr="000F168D">
        <w:t>2023. évi XXV. törvény</w:t>
      </w:r>
    </w:p>
    <w:p w14:paraId="1E136FAB" w14:textId="20901CBE" w:rsidR="00734278" w:rsidRPr="000F168D" w:rsidRDefault="00734278" w:rsidP="00ED749F">
      <w:pPr>
        <w:pStyle w:val="Listaszerbekezds"/>
        <w:numPr>
          <w:ilvl w:val="0"/>
          <w:numId w:val="37"/>
        </w:numPr>
        <w:spacing w:before="120" w:after="120"/>
        <w:jc w:val="both"/>
      </w:pPr>
      <w:r w:rsidRPr="000F168D">
        <w:t>Az Európai Parlament és a Tanács 2016/679 Rendelete a természetes személyeknek a személyes adatok kezelése tekintetében történő védelméről és az ilyen adatok szabad áramlásáról, valamint a 95/46/EK rendelet hatályon kívül helyezéséről (a továbbiakban: „Adatvédelmi rendelet” vagy „GDPR”)</w:t>
      </w:r>
    </w:p>
    <w:p w14:paraId="298F6203" w14:textId="3675BDF7" w:rsidR="00F303E6" w:rsidRPr="000F168D" w:rsidRDefault="00F303E6" w:rsidP="00ED749F">
      <w:pPr>
        <w:pStyle w:val="Listaszerbekezds"/>
        <w:numPr>
          <w:ilvl w:val="0"/>
          <w:numId w:val="37"/>
        </w:numPr>
        <w:spacing w:before="120" w:after="120"/>
        <w:jc w:val="both"/>
      </w:pPr>
      <w:r w:rsidRPr="000F168D">
        <w:t>A jogi segítségnyújtásról szóló 2003. évi LXXX. törvény</w:t>
      </w:r>
    </w:p>
    <w:p w14:paraId="06899B3A" w14:textId="77777777" w:rsidR="00E31F4F" w:rsidRPr="000F168D" w:rsidRDefault="00E31F4F" w:rsidP="00E31F4F">
      <w:pPr>
        <w:jc w:val="both"/>
        <w:outlineLvl w:val="0"/>
        <w:rPr>
          <w:b/>
        </w:rPr>
      </w:pPr>
    </w:p>
    <w:p w14:paraId="14AB477C" w14:textId="09E22A28" w:rsidR="00D14197" w:rsidRPr="000F168D" w:rsidRDefault="00E31F4F" w:rsidP="00ED749F">
      <w:pPr>
        <w:numPr>
          <w:ilvl w:val="0"/>
          <w:numId w:val="2"/>
        </w:numPr>
        <w:jc w:val="center"/>
        <w:outlineLvl w:val="0"/>
        <w:rPr>
          <w:b/>
        </w:rPr>
      </w:pPr>
      <w:bookmarkStart w:id="25" w:name="_Toc117843301"/>
      <w:bookmarkStart w:id="26" w:name="_Toc117248815"/>
      <w:bookmarkStart w:id="27" w:name="_Toc83974722"/>
      <w:bookmarkStart w:id="28" w:name="_Toc21942032"/>
      <w:bookmarkStart w:id="29" w:name="_Toc21427553"/>
      <w:bookmarkStart w:id="30" w:name="_Toc21425250"/>
      <w:bookmarkStart w:id="31" w:name="_Toc21425118"/>
      <w:bookmarkStart w:id="32" w:name="_Toc138772514"/>
      <w:r w:rsidRPr="000F168D">
        <w:rPr>
          <w:b/>
        </w:rPr>
        <w:t>FOGALMI MEGHATÁROZÁSOK / RÖVIDÍTÉSEK</w:t>
      </w:r>
      <w:bookmarkEnd w:id="25"/>
      <w:bookmarkEnd w:id="26"/>
      <w:bookmarkEnd w:id="27"/>
      <w:bookmarkEnd w:id="28"/>
      <w:bookmarkEnd w:id="29"/>
      <w:bookmarkEnd w:id="30"/>
      <w:bookmarkEnd w:id="31"/>
      <w:bookmarkEnd w:id="32"/>
    </w:p>
    <w:p w14:paraId="4477E64C" w14:textId="77777777" w:rsidR="00D14197" w:rsidRPr="000F168D" w:rsidRDefault="00D14197" w:rsidP="00D14197">
      <w:pPr>
        <w:ind w:left="720"/>
        <w:jc w:val="both"/>
        <w:outlineLvl w:val="0"/>
        <w:rPr>
          <w:b/>
        </w:rPr>
      </w:pPr>
    </w:p>
    <w:p w14:paraId="7D5CA11E" w14:textId="26DF32CB" w:rsidR="008E1273" w:rsidRPr="000F168D" w:rsidRDefault="008E1273" w:rsidP="00D14197">
      <w:pPr>
        <w:jc w:val="both"/>
        <w:outlineLvl w:val="0"/>
      </w:pPr>
      <w:r w:rsidRPr="000F168D">
        <w:t>1. </w:t>
      </w:r>
      <w:r w:rsidR="00D14197" w:rsidRPr="000F168D">
        <w:t>F</w:t>
      </w:r>
      <w:r w:rsidRPr="000F168D">
        <w:t>oglalkoztatásra irányuló jogviszony: minden olyan jogviszony, amelyben a foglalkoztatott a foglalkoztató részére és annak irányítása alatt ellenérték fejében tevékenységet végez vagy önmaga foglalkoztatását végzi,</w:t>
      </w:r>
    </w:p>
    <w:p w14:paraId="339EFB2D" w14:textId="77777777" w:rsidR="00ED749F" w:rsidRPr="000F168D" w:rsidRDefault="00ED749F" w:rsidP="00D14197">
      <w:pPr>
        <w:jc w:val="both"/>
        <w:outlineLvl w:val="0"/>
      </w:pPr>
    </w:p>
    <w:p w14:paraId="659DFE32" w14:textId="1721D3BC" w:rsidR="008E1273" w:rsidRPr="000F168D" w:rsidRDefault="008E1273" w:rsidP="00D14197">
      <w:pPr>
        <w:jc w:val="both"/>
        <w:outlineLvl w:val="0"/>
      </w:pPr>
      <w:r w:rsidRPr="000F168D">
        <w:t>2. </w:t>
      </w:r>
      <w:r w:rsidR="00D14197" w:rsidRPr="000F168D">
        <w:t>F</w:t>
      </w:r>
      <w:r w:rsidRPr="000F168D">
        <w:t>oglalkoztató: aki természetes személyt foglalkoztatásra irányuló jogviszony keretében foglalkoztat</w:t>
      </w:r>
      <w:r w:rsidR="002D5278" w:rsidRPr="000F168D">
        <w:t xml:space="preserve"> (a továbbiakban: </w:t>
      </w:r>
      <w:r w:rsidR="000D5598" w:rsidRPr="000F168D">
        <w:t>Foglalkoztató</w:t>
      </w:r>
      <w:r w:rsidR="002D5278" w:rsidRPr="000F168D">
        <w:t xml:space="preserve"> vagy munkáltató)</w:t>
      </w:r>
      <w:r w:rsidRPr="000F168D">
        <w:t>,</w:t>
      </w:r>
    </w:p>
    <w:p w14:paraId="04E479A0" w14:textId="77777777" w:rsidR="00ED749F" w:rsidRPr="000F168D" w:rsidRDefault="00ED749F" w:rsidP="00D14197">
      <w:pPr>
        <w:jc w:val="both"/>
        <w:outlineLvl w:val="0"/>
      </w:pPr>
    </w:p>
    <w:p w14:paraId="37923F3B" w14:textId="7355F52E" w:rsidR="0094364B" w:rsidRPr="000F168D" w:rsidRDefault="008E1273" w:rsidP="00AB30E2">
      <w:pPr>
        <w:jc w:val="both"/>
        <w:outlineLvl w:val="0"/>
        <w:rPr>
          <w:i/>
          <w:iCs/>
          <w:color w:val="242021"/>
        </w:rPr>
      </w:pPr>
      <w:r w:rsidRPr="000F168D">
        <w:t>3. </w:t>
      </w:r>
      <w:r w:rsidR="00D14197" w:rsidRPr="000F168D">
        <w:t>F</w:t>
      </w:r>
      <w:r w:rsidRPr="000F168D">
        <w:t>oglalkoztatott: az a természetes személy, aki a foglalkoztató számára és annak irányítása alatt foglalkoztatásra irányuló jogviszony keretében, ellenérték fejében tevékenységet végez, vagy önmaga foglalkoztatását végzi</w:t>
      </w:r>
      <w:r w:rsidR="002D5278" w:rsidRPr="000F168D">
        <w:t xml:space="preserve"> (a továbbiakban: </w:t>
      </w:r>
      <w:r w:rsidR="00ED749F" w:rsidRPr="000F168D">
        <w:t>foglalkoztatott</w:t>
      </w:r>
      <w:r w:rsidR="002D5278" w:rsidRPr="000F168D">
        <w:t>)</w:t>
      </w:r>
      <w:r w:rsidRPr="000F168D">
        <w:t>.</w:t>
      </w:r>
    </w:p>
    <w:p w14:paraId="429595A2" w14:textId="77777777" w:rsidR="0094364B" w:rsidRPr="000F168D" w:rsidRDefault="0094364B" w:rsidP="00D618CB">
      <w:pPr>
        <w:rPr>
          <w:i/>
          <w:iCs/>
          <w:color w:val="242021"/>
        </w:rPr>
      </w:pPr>
    </w:p>
    <w:p w14:paraId="3DAE1B40" w14:textId="191BEF4D" w:rsidR="00E31F4F" w:rsidRPr="000F168D" w:rsidRDefault="00ED749F" w:rsidP="00ED749F">
      <w:pPr>
        <w:numPr>
          <w:ilvl w:val="0"/>
          <w:numId w:val="2"/>
        </w:numPr>
        <w:jc w:val="center"/>
        <w:outlineLvl w:val="0"/>
        <w:rPr>
          <w:b/>
        </w:rPr>
      </w:pPr>
      <w:r w:rsidRPr="000F168D">
        <w:rPr>
          <w:b/>
        </w:rPr>
        <w:t>RÉSZLETSZABÁLYOK</w:t>
      </w:r>
    </w:p>
    <w:p w14:paraId="37556FAB" w14:textId="77777777" w:rsidR="00ED749F" w:rsidRPr="000F168D" w:rsidRDefault="00ED749F" w:rsidP="00ED749F">
      <w:pPr>
        <w:ind w:left="360"/>
        <w:jc w:val="center"/>
        <w:outlineLvl w:val="0"/>
        <w:rPr>
          <w:b/>
        </w:rPr>
      </w:pPr>
    </w:p>
    <w:p w14:paraId="5B58482E" w14:textId="55AB6A70" w:rsidR="00E31F4F" w:rsidRPr="000F168D" w:rsidRDefault="00C675D8" w:rsidP="00E31F4F">
      <w:pPr>
        <w:numPr>
          <w:ilvl w:val="1"/>
          <w:numId w:val="2"/>
        </w:numPr>
        <w:ind w:left="709" w:hanging="425"/>
        <w:jc w:val="both"/>
        <w:outlineLvl w:val="1"/>
        <w:rPr>
          <w:b/>
        </w:rPr>
      </w:pPr>
      <w:bookmarkStart w:id="33" w:name="_Toc138772516"/>
      <w:bookmarkStart w:id="34" w:name="_Hlk138426003"/>
      <w:r w:rsidRPr="000F168D">
        <w:rPr>
          <w:b/>
        </w:rPr>
        <w:t>Belső visszaélés-bejelentési rendszer létrehozása és működtetése</w:t>
      </w:r>
      <w:bookmarkEnd w:id="33"/>
    </w:p>
    <w:p w14:paraId="2C1F31DE" w14:textId="77777777" w:rsidR="001614F2" w:rsidRPr="000F168D" w:rsidRDefault="001614F2" w:rsidP="001614F2">
      <w:pPr>
        <w:ind w:left="709"/>
        <w:jc w:val="both"/>
        <w:outlineLvl w:val="1"/>
        <w:rPr>
          <w:b/>
        </w:rPr>
      </w:pPr>
    </w:p>
    <w:p w14:paraId="7F4D861F" w14:textId="76E8A268" w:rsidR="00E31F4F" w:rsidRPr="000F168D" w:rsidRDefault="00C675D8" w:rsidP="00E31F4F">
      <w:pPr>
        <w:numPr>
          <w:ilvl w:val="2"/>
          <w:numId w:val="2"/>
        </w:numPr>
        <w:ind w:left="1134" w:hanging="567"/>
        <w:jc w:val="both"/>
        <w:outlineLvl w:val="2"/>
        <w:rPr>
          <w:b/>
        </w:rPr>
      </w:pPr>
      <w:bookmarkStart w:id="35" w:name="_Toc138772517"/>
      <w:r w:rsidRPr="000F168D">
        <w:rPr>
          <w:b/>
        </w:rPr>
        <w:t>A megtehető bejelentések köre</w:t>
      </w:r>
      <w:bookmarkEnd w:id="35"/>
      <w:r w:rsidR="00E31F4F" w:rsidRPr="000F168D">
        <w:rPr>
          <w:b/>
        </w:rPr>
        <w:t xml:space="preserve"> </w:t>
      </w:r>
    </w:p>
    <w:p w14:paraId="5C1F49F2" w14:textId="77777777" w:rsidR="00C675D8" w:rsidRPr="000F168D" w:rsidRDefault="00C675D8" w:rsidP="00C675D8">
      <w:pPr>
        <w:jc w:val="both"/>
        <w:outlineLvl w:val="2"/>
        <w:rPr>
          <w:color w:val="242021"/>
        </w:rPr>
      </w:pPr>
    </w:p>
    <w:p w14:paraId="64D94940" w14:textId="33CB09DE" w:rsidR="00B8496A" w:rsidRPr="000F168D" w:rsidRDefault="00C675D8" w:rsidP="00454B3E">
      <w:pPr>
        <w:jc w:val="both"/>
        <w:rPr>
          <w:b/>
          <w:bCs/>
        </w:rPr>
      </w:pPr>
      <w:r w:rsidRPr="000F168D">
        <w:t>A belső visszaélés-bejelentési rendszerben</w:t>
      </w:r>
      <w:r w:rsidR="00ED749F" w:rsidRPr="000F168D">
        <w:t xml:space="preserve"> </w:t>
      </w:r>
      <w:r w:rsidR="00ED749F" w:rsidRPr="000F168D">
        <w:rPr>
          <w:b/>
          <w:bCs/>
        </w:rPr>
        <w:t>európai uniós jogi aktusok</w:t>
      </w:r>
      <w:r w:rsidR="00ED749F" w:rsidRPr="000F168D">
        <w:t xml:space="preserve"> tekintetében</w:t>
      </w:r>
      <w:r w:rsidRPr="000F168D">
        <w:t xml:space="preserve"> jogellenes vagy jogellenesnek feltételezett cselekményre vagy</w:t>
      </w:r>
      <w:r w:rsidR="000A69D6" w:rsidRPr="000F168D">
        <w:t xml:space="preserve"> </w:t>
      </w:r>
      <w:r w:rsidRPr="000F168D">
        <w:t>mulasztásra, illetve egyéb visszaélésre vonatkozó információt lehet bejelenteni,</w:t>
      </w:r>
      <w:r w:rsidR="00AF5802" w:rsidRPr="000F168D">
        <w:t xml:space="preserve"> </w:t>
      </w:r>
      <w:r w:rsidRPr="000F168D">
        <w:t>különösen</w:t>
      </w:r>
      <w:r w:rsidR="00B4797D" w:rsidRPr="000F168D">
        <w:t>,</w:t>
      </w:r>
      <w:r w:rsidRPr="000F168D">
        <w:t xml:space="preserve"> </w:t>
      </w:r>
      <w:r w:rsidR="004D5998" w:rsidRPr="000F168D">
        <w:t xml:space="preserve">amelyek </w:t>
      </w:r>
      <w:r w:rsidRPr="000F168D">
        <w:t xml:space="preserve">a jelen szabályzat </w:t>
      </w:r>
      <w:r w:rsidR="0094364B" w:rsidRPr="000F168D">
        <w:t xml:space="preserve">1., illetve </w:t>
      </w:r>
      <w:r w:rsidR="001C4DB3" w:rsidRPr="000F168D">
        <w:t>2</w:t>
      </w:r>
      <w:r w:rsidRPr="000F168D">
        <w:t>. sz. melléklet</w:t>
      </w:r>
      <w:r w:rsidR="0094364B" w:rsidRPr="000F168D">
        <w:t>ei</w:t>
      </w:r>
      <w:r w:rsidRPr="000F168D">
        <w:t>ben felsorolt uniós jogi aktusokkal és területekkel kapcsolatos</w:t>
      </w:r>
      <w:r w:rsidR="004D5998" w:rsidRPr="000F168D">
        <w:t>ak</w:t>
      </w:r>
      <w:r w:rsidRPr="000F168D">
        <w:t>.</w:t>
      </w:r>
      <w:r w:rsidR="00472AEC" w:rsidRPr="000F168D">
        <w:t xml:space="preserve"> </w:t>
      </w:r>
      <w:r w:rsidR="00472AEC" w:rsidRPr="000F168D">
        <w:rPr>
          <w:b/>
          <w:bCs/>
        </w:rPr>
        <w:t>Egyéb bejelentéseket a CSFK a visszaélés-bejelentő rendszeren keresztül nem fogad.</w:t>
      </w:r>
    </w:p>
    <w:p w14:paraId="79117BFC" w14:textId="77777777" w:rsidR="00E31F4F" w:rsidRPr="000F168D" w:rsidRDefault="00E31F4F" w:rsidP="00E31F4F">
      <w:pPr>
        <w:ind w:left="1134"/>
        <w:jc w:val="both"/>
      </w:pPr>
    </w:p>
    <w:p w14:paraId="2ECE6D0E" w14:textId="55A4D196" w:rsidR="00E31F4F" w:rsidRPr="000F168D" w:rsidRDefault="001C4DB3" w:rsidP="00E31F4F">
      <w:pPr>
        <w:numPr>
          <w:ilvl w:val="2"/>
          <w:numId w:val="2"/>
        </w:numPr>
        <w:ind w:left="1134" w:hanging="567"/>
        <w:jc w:val="both"/>
        <w:outlineLvl w:val="2"/>
        <w:rPr>
          <w:b/>
        </w:rPr>
      </w:pPr>
      <w:bookmarkStart w:id="36" w:name="_Toc138772518"/>
      <w:r w:rsidRPr="000F168D">
        <w:rPr>
          <w:b/>
        </w:rPr>
        <w:t>A</w:t>
      </w:r>
      <w:r w:rsidR="00C675D8" w:rsidRPr="000F168D">
        <w:rPr>
          <w:b/>
        </w:rPr>
        <w:t xml:space="preserve"> bejelentés</w:t>
      </w:r>
      <w:r w:rsidRPr="000F168D">
        <w:rPr>
          <w:b/>
        </w:rPr>
        <w:t>tételre jogosultak köre</w:t>
      </w:r>
      <w:bookmarkEnd w:id="36"/>
    </w:p>
    <w:p w14:paraId="403A8B53" w14:textId="77777777" w:rsidR="00C675D8" w:rsidRPr="000F168D" w:rsidRDefault="00C675D8" w:rsidP="00C675D8">
      <w:pPr>
        <w:pStyle w:val="Listaszerbekezds"/>
        <w:rPr>
          <w:b/>
        </w:rPr>
      </w:pPr>
    </w:p>
    <w:p w14:paraId="568A76E1" w14:textId="77777777" w:rsidR="00ED749F" w:rsidRPr="000F168D" w:rsidRDefault="00ED749F" w:rsidP="00ED749F">
      <w:pPr>
        <w:jc w:val="both"/>
      </w:pPr>
      <w:r w:rsidRPr="000F168D">
        <w:t>A belső visszaélés-bejelentési rendszerben bejelentést tehet</w:t>
      </w:r>
    </w:p>
    <w:p w14:paraId="0C13AC12" w14:textId="77777777" w:rsidR="00ED749F" w:rsidRPr="000F168D" w:rsidRDefault="00ED749F" w:rsidP="00ED749F">
      <w:pPr>
        <w:jc w:val="both"/>
      </w:pPr>
    </w:p>
    <w:p w14:paraId="18FF7CEB" w14:textId="77777777" w:rsidR="00ED749F" w:rsidRPr="000F168D" w:rsidRDefault="00ED749F" w:rsidP="00ED749F">
      <w:pPr>
        <w:jc w:val="both"/>
      </w:pPr>
      <w:r w:rsidRPr="000F168D">
        <w:t>a) a foglalkoztató által foglalkoztatott,</w:t>
      </w:r>
    </w:p>
    <w:p w14:paraId="1C67FB6C" w14:textId="77777777" w:rsidR="00ED749F" w:rsidRPr="000F168D" w:rsidRDefault="00ED749F" w:rsidP="00ED749F">
      <w:pPr>
        <w:jc w:val="both"/>
      </w:pPr>
      <w:r w:rsidRPr="000F168D">
        <w:t>b) az a foglalkoztatott, akinek a foglalkoztatónál fennálló foglalkoztatásra irányuló jogviszonya megszűnt, és</w:t>
      </w:r>
    </w:p>
    <w:p w14:paraId="5C250C9D" w14:textId="77777777" w:rsidR="00ED749F" w:rsidRPr="000F168D" w:rsidRDefault="00ED749F" w:rsidP="00ED749F">
      <w:pPr>
        <w:jc w:val="both"/>
      </w:pPr>
      <w:r w:rsidRPr="000F168D">
        <w:t>c) a foglalkoztatóval foglalkoztatásra irányuló jogviszonyt létesíteni kívánó olyan személy, aki esetében e jogviszony létesítésére vonatkozó eljárás megkezdődött.</w:t>
      </w:r>
    </w:p>
    <w:p w14:paraId="1461CD96" w14:textId="77777777" w:rsidR="00ED749F" w:rsidRPr="000F168D" w:rsidRDefault="00ED749F" w:rsidP="00ED749F">
      <w:pPr>
        <w:jc w:val="both"/>
      </w:pPr>
    </w:p>
    <w:p w14:paraId="0718B236" w14:textId="77777777" w:rsidR="00ED749F" w:rsidRPr="000F168D" w:rsidRDefault="00ED749F" w:rsidP="00ED749F">
      <w:pPr>
        <w:jc w:val="both"/>
      </w:pPr>
      <w:r w:rsidRPr="000F168D">
        <w:t>A belső visszaélés-bejelentési rendszerben bejelentést tehet ezen felül</w:t>
      </w:r>
    </w:p>
    <w:p w14:paraId="5979765E" w14:textId="77777777" w:rsidR="00ED749F" w:rsidRPr="000F168D" w:rsidRDefault="00ED749F" w:rsidP="00ED749F">
      <w:pPr>
        <w:jc w:val="both"/>
      </w:pPr>
      <w:r w:rsidRPr="000F168D">
        <w:t>a) az egyéni vállalkozó, az egyéni cég, ha a foglalkoztatóval szerződéses kapcsolatban áll,</w:t>
      </w:r>
    </w:p>
    <w:p w14:paraId="23BEC932" w14:textId="77777777" w:rsidR="00ED749F" w:rsidRPr="000F168D" w:rsidRDefault="00ED749F" w:rsidP="00ED749F">
      <w:pPr>
        <w:jc w:val="both"/>
      </w:pPr>
      <w:r w:rsidRPr="000F168D">
        <w:t>b) a foglalkoztató tekintetében tulajdonosi részesedéssel rendelkező személy, valamint a foglalkoztató ügyviteli, ügyvezető, illetve felügyelő testületéhez tartozó személy, ideértve a nem ügyvezető tagot is,</w:t>
      </w:r>
    </w:p>
    <w:p w14:paraId="69393CDB" w14:textId="77777777" w:rsidR="00ED749F" w:rsidRPr="000F168D" w:rsidRDefault="00ED749F" w:rsidP="00ED749F">
      <w:pPr>
        <w:jc w:val="both"/>
      </w:pPr>
      <w:r w:rsidRPr="000F168D">
        <w:t>c) a foglalkoztatóval szerződéses kapcsolat létesítésére vonatkozó eljárást megkezdett, szerződéses kapcsolatban álló vagy szerződéses kapcsolatban állt vállalkozó, alvállalkozó, beszállító, illetve megbízott felügyelete és irányítása alatt álló személy,</w:t>
      </w:r>
    </w:p>
    <w:p w14:paraId="53E09884" w14:textId="77777777" w:rsidR="00ED749F" w:rsidRPr="000F168D" w:rsidRDefault="00ED749F" w:rsidP="00ED749F">
      <w:pPr>
        <w:jc w:val="both"/>
      </w:pPr>
      <w:r w:rsidRPr="000F168D">
        <w:t>d) a foglalkoztatónál tevékenységet végző gyakornok és önkéntes,</w:t>
      </w:r>
    </w:p>
    <w:p w14:paraId="6A47DC90" w14:textId="77777777" w:rsidR="00ED749F" w:rsidRPr="000F168D" w:rsidRDefault="00ED749F" w:rsidP="00ED749F">
      <w:pPr>
        <w:jc w:val="both"/>
      </w:pPr>
      <w:r w:rsidRPr="000F168D">
        <w:t>e) a foglalkoztatóval az a), b) vagy d) pont szerinti jogviszonyt vagy szerződéses kapcsolatot létesíteni kívánó olyan személy, aki esetében e jogviszony vagy szerződéses kapcsolat létesítésére vonatkozó eljárás megkezdődött, és</w:t>
      </w:r>
    </w:p>
    <w:p w14:paraId="76C93AFE" w14:textId="69BCEB14" w:rsidR="00ED749F" w:rsidRPr="000F168D" w:rsidRDefault="00ED749F" w:rsidP="00ED749F">
      <w:pPr>
        <w:jc w:val="both"/>
      </w:pPr>
      <w:r w:rsidRPr="000F168D">
        <w:lastRenderedPageBreak/>
        <w:t>f) az a személy, akinek az a), b) vagy d) pont szerinti jogviszonya vagy szerződéses kapcsolata a foglalkoztatóval megszűnt.</w:t>
      </w:r>
    </w:p>
    <w:p w14:paraId="2A979D9C" w14:textId="77777777" w:rsidR="00C675D8" w:rsidRPr="000F168D" w:rsidRDefault="00C675D8" w:rsidP="00454B3E">
      <w:pPr>
        <w:ind w:left="1134"/>
        <w:jc w:val="both"/>
        <w:outlineLvl w:val="2"/>
        <w:rPr>
          <w:b/>
        </w:rPr>
      </w:pPr>
    </w:p>
    <w:p w14:paraId="15862B3D" w14:textId="041BF26D" w:rsidR="00C675D8" w:rsidRPr="000F168D" w:rsidRDefault="00D54A6A" w:rsidP="006804FD">
      <w:pPr>
        <w:numPr>
          <w:ilvl w:val="2"/>
          <w:numId w:val="2"/>
        </w:numPr>
        <w:ind w:left="1440" w:hanging="567"/>
        <w:jc w:val="both"/>
        <w:outlineLvl w:val="2"/>
        <w:rPr>
          <w:b/>
        </w:rPr>
      </w:pPr>
      <w:bookmarkStart w:id="37" w:name="_Toc138772519"/>
      <w:r w:rsidRPr="000F168D">
        <w:rPr>
          <w:b/>
        </w:rPr>
        <w:t>A</w:t>
      </w:r>
      <w:r w:rsidR="00C675D8" w:rsidRPr="000F168D">
        <w:rPr>
          <w:b/>
        </w:rPr>
        <w:t xml:space="preserve"> bejelentés</w:t>
      </w:r>
      <w:r w:rsidRPr="000F168D">
        <w:rPr>
          <w:b/>
        </w:rPr>
        <w:t xml:space="preserve"> módja</w:t>
      </w:r>
      <w:bookmarkEnd w:id="37"/>
    </w:p>
    <w:p w14:paraId="5735742A" w14:textId="77777777" w:rsidR="006804FD" w:rsidRPr="000F168D" w:rsidRDefault="006804FD" w:rsidP="006804FD">
      <w:pPr>
        <w:ind w:left="1440"/>
        <w:jc w:val="both"/>
        <w:outlineLvl w:val="2"/>
        <w:rPr>
          <w:b/>
        </w:rPr>
      </w:pPr>
    </w:p>
    <w:p w14:paraId="06656ED2" w14:textId="111D7664" w:rsidR="00472AEC" w:rsidRPr="000F168D" w:rsidRDefault="00472AEC" w:rsidP="00472AEC">
      <w:pPr>
        <w:jc w:val="both"/>
        <w:rPr>
          <w:color w:val="242021"/>
        </w:rPr>
      </w:pPr>
      <w:r w:rsidRPr="000F168D">
        <w:t>A belső</w:t>
      </w:r>
      <w:r w:rsidRPr="000F168D">
        <w:rPr>
          <w:color w:val="242021"/>
        </w:rPr>
        <w:t xml:space="preserve"> visszaélés-bejelentési rendszert a CSFK szervezetén belül a </w:t>
      </w:r>
      <w:r w:rsidRPr="000F168D">
        <w:rPr>
          <w:b/>
          <w:bCs/>
          <w:color w:val="242021"/>
        </w:rPr>
        <w:t>belső kontrollfelelős</w:t>
      </w:r>
      <w:r w:rsidRPr="000F168D">
        <w:rPr>
          <w:color w:val="242021"/>
        </w:rPr>
        <w:t xml:space="preserve"> működteti. </w:t>
      </w:r>
    </w:p>
    <w:p w14:paraId="688854CE" w14:textId="77777777" w:rsidR="00472AEC" w:rsidRPr="000F168D" w:rsidRDefault="00472AEC" w:rsidP="00ED749F">
      <w:pPr>
        <w:jc w:val="both"/>
      </w:pPr>
    </w:p>
    <w:p w14:paraId="38B64128" w14:textId="69C33D5B" w:rsidR="006804FD" w:rsidRPr="000F168D" w:rsidRDefault="006804FD" w:rsidP="00ED749F">
      <w:pPr>
        <w:jc w:val="both"/>
      </w:pPr>
      <w:r w:rsidRPr="000F168D">
        <w:t>A bejelentő a bejelentést</w:t>
      </w:r>
      <w:r w:rsidR="00472AEC" w:rsidRPr="000F168D">
        <w:t xml:space="preserve"> a belső kontrollfelelős felé</w:t>
      </w:r>
      <w:r w:rsidRPr="000F168D">
        <w:t xml:space="preserve"> </w:t>
      </w:r>
      <w:r w:rsidRPr="000F168D">
        <w:rPr>
          <w:b/>
          <w:bCs/>
        </w:rPr>
        <w:t>írásban vagy szóban</w:t>
      </w:r>
      <w:r w:rsidRPr="000F168D">
        <w:t xml:space="preserve"> teheti meg. A szóbeli bejelentést személyesen</w:t>
      </w:r>
      <w:r w:rsidR="001614F2" w:rsidRPr="000F168D">
        <w:t xml:space="preserve"> </w:t>
      </w:r>
      <w:r w:rsidRPr="000F168D">
        <w:t>lehet megtenni</w:t>
      </w:r>
      <w:r w:rsidR="00BF5CE0" w:rsidRPr="000F168D">
        <w:t>.</w:t>
      </w:r>
      <w:r w:rsidR="00472AEC" w:rsidRPr="000F168D">
        <w:t xml:space="preserve"> Személyes bejelentéshez előzetes időpontfoglalás szükséges a következő e-mail címen: bejelentes@csfk.org.</w:t>
      </w:r>
    </w:p>
    <w:p w14:paraId="166FAC89" w14:textId="77777777" w:rsidR="00263CC5" w:rsidRPr="000F168D" w:rsidRDefault="00263CC5" w:rsidP="00D618CB"/>
    <w:p w14:paraId="0D95DDFF" w14:textId="2CA8833D" w:rsidR="006804FD" w:rsidRPr="000F168D" w:rsidRDefault="001614F2" w:rsidP="00454B3E">
      <w:pPr>
        <w:jc w:val="both"/>
      </w:pPr>
      <w:r w:rsidRPr="000F168D">
        <w:t>S</w:t>
      </w:r>
      <w:r w:rsidR="006804FD" w:rsidRPr="000F168D">
        <w:t>zemélyesen</w:t>
      </w:r>
      <w:r w:rsidRPr="000F168D">
        <w:t xml:space="preserve"> bejelentés esetén a </w:t>
      </w:r>
      <w:r w:rsidR="006804FD" w:rsidRPr="000F168D">
        <w:rPr>
          <w:b/>
          <w:bCs/>
        </w:rPr>
        <w:t>szóbeli</w:t>
      </w:r>
      <w:r w:rsidRPr="000F168D">
        <w:rPr>
          <w:b/>
          <w:bCs/>
        </w:rPr>
        <w:t xml:space="preserve"> </w:t>
      </w:r>
      <w:r w:rsidR="006804FD" w:rsidRPr="000F168D">
        <w:rPr>
          <w:b/>
          <w:bCs/>
        </w:rPr>
        <w:t>bejelentés</w:t>
      </w:r>
      <w:r w:rsidRPr="000F168D">
        <w:t xml:space="preserve"> </w:t>
      </w:r>
      <w:r w:rsidR="006804FD" w:rsidRPr="000F168D">
        <w:t xml:space="preserve">– a személyes adatok </w:t>
      </w:r>
      <w:r w:rsidR="005B0438" w:rsidRPr="000F168D">
        <w:t>kezelésére vonatkozó</w:t>
      </w:r>
      <w:r w:rsidR="006804FD" w:rsidRPr="000F168D">
        <w:t xml:space="preserve"> tájékoztatást</w:t>
      </w:r>
      <w:r w:rsidR="00EE7D64" w:rsidRPr="000F168D">
        <w:t xml:space="preserve"> </w:t>
      </w:r>
      <w:r w:rsidR="006804FD" w:rsidRPr="000F168D">
        <w:t>követően –</w:t>
      </w:r>
      <w:r w:rsidR="00EE7D64" w:rsidRPr="000F168D">
        <w:t xml:space="preserve"> </w:t>
      </w:r>
      <w:r w:rsidR="006804FD" w:rsidRPr="000F168D">
        <w:t>írásba foglal</w:t>
      </w:r>
      <w:r w:rsidRPr="000F168D">
        <w:t>ásra kerül</w:t>
      </w:r>
      <w:r w:rsidR="006804FD" w:rsidRPr="000F168D">
        <w:t xml:space="preserve"> és – annak ellenőrzésére, helyesbítésére, aláírással történő elfogadására vonatkozó lehetőség</w:t>
      </w:r>
      <w:r w:rsidRPr="000F168D">
        <w:t xml:space="preserve"> </w:t>
      </w:r>
      <w:r w:rsidR="006804FD" w:rsidRPr="000F168D">
        <w:t>biztosítása mellett – a bejelentő számára másodpéldányban átad</w:t>
      </w:r>
      <w:r w:rsidRPr="000F168D">
        <w:t>ásra kerül.</w:t>
      </w:r>
      <w:r w:rsidR="00C5400C" w:rsidRPr="000F168D">
        <w:t xml:space="preserve"> </w:t>
      </w:r>
      <w:r w:rsidR="006804FD" w:rsidRPr="000F168D">
        <w:t>A szóbeli bejelentés írásba foglalása során teljes és pontos</w:t>
      </w:r>
      <w:r w:rsidR="000A69D6" w:rsidRPr="000F168D">
        <w:t xml:space="preserve"> </w:t>
      </w:r>
      <w:r w:rsidR="006804FD" w:rsidRPr="000F168D">
        <w:t>jegyzőkönyv</w:t>
      </w:r>
      <w:r w:rsidR="00BF5CE0" w:rsidRPr="000F168D">
        <w:t xml:space="preserve"> készül</w:t>
      </w:r>
      <w:r w:rsidR="006804FD" w:rsidRPr="000F168D">
        <w:t>.</w:t>
      </w:r>
    </w:p>
    <w:p w14:paraId="494CFD14" w14:textId="77777777" w:rsidR="00263CC5" w:rsidRPr="000F168D" w:rsidRDefault="006804FD" w:rsidP="00454B3E">
      <w:pPr>
        <w:jc w:val="both"/>
      </w:pPr>
      <w:r w:rsidRPr="000F168D">
        <w:br/>
        <w:t>Szóbeli bejelentés esetén a bejelentő figyelmét fel kell hívni a rosszhiszemű bejelentés következményeire,</w:t>
      </w:r>
      <w:r w:rsidR="000A69D6" w:rsidRPr="000F168D">
        <w:t xml:space="preserve"> </w:t>
      </w:r>
      <w:r w:rsidRPr="000F168D">
        <w:t>a bejelentés kivizsgálására irányadó eljárási szabályokra és arra, hogy személyazonosságát – ha az annak</w:t>
      </w:r>
      <w:r w:rsidR="000A69D6" w:rsidRPr="000F168D">
        <w:t xml:space="preserve"> </w:t>
      </w:r>
      <w:r w:rsidRPr="000F168D">
        <w:t>megállapításához szükséges adatokat megadja – a vizsgálat</w:t>
      </w:r>
      <w:r w:rsidR="00454B3E" w:rsidRPr="000F168D">
        <w:t xml:space="preserve"> </w:t>
      </w:r>
      <w:r w:rsidRPr="000F168D">
        <w:t>valamennyi szakaszában bizalmasan kezelik.</w:t>
      </w:r>
    </w:p>
    <w:p w14:paraId="3DB67574" w14:textId="77777777" w:rsidR="00472AEC" w:rsidRPr="000F168D" w:rsidRDefault="00472AEC" w:rsidP="00454B3E">
      <w:pPr>
        <w:jc w:val="both"/>
      </w:pPr>
    </w:p>
    <w:p w14:paraId="7221D174" w14:textId="77777777" w:rsidR="00472AEC" w:rsidRPr="000F168D" w:rsidRDefault="00472AEC" w:rsidP="00AB30E2">
      <w:pPr>
        <w:jc w:val="both"/>
      </w:pPr>
      <w:r w:rsidRPr="000F168D">
        <w:t xml:space="preserve">Az </w:t>
      </w:r>
      <w:r w:rsidRPr="000F168D">
        <w:rPr>
          <w:b/>
          <w:bCs/>
        </w:rPr>
        <w:t>írásbeli bejelentés</w:t>
      </w:r>
      <w:r w:rsidRPr="000F168D">
        <w:t xml:space="preserve"> megtehető postai úton vagy elektronikus úton. A belső kontroll felelős bejelentésre rendszeresített elérhetőségei: </w:t>
      </w:r>
    </w:p>
    <w:p w14:paraId="166D4827" w14:textId="77777777" w:rsidR="00472AEC" w:rsidRPr="000F168D" w:rsidRDefault="00472AEC" w:rsidP="00AB30E2">
      <w:pPr>
        <w:jc w:val="both"/>
      </w:pPr>
    </w:p>
    <w:p w14:paraId="7975C121" w14:textId="77777777" w:rsidR="00472AEC" w:rsidRPr="000F168D" w:rsidRDefault="00472AEC" w:rsidP="00AB30E2">
      <w:pPr>
        <w:jc w:val="both"/>
        <w:rPr>
          <w:b/>
          <w:bCs/>
        </w:rPr>
      </w:pPr>
      <w:r w:rsidRPr="000F168D">
        <w:t xml:space="preserve">E-mail cím: </w:t>
      </w:r>
      <w:r w:rsidRPr="000F168D">
        <w:rPr>
          <w:b/>
          <w:bCs/>
        </w:rPr>
        <w:t>bejelentes@csfk.org</w:t>
      </w:r>
    </w:p>
    <w:p w14:paraId="357EFB56" w14:textId="77777777" w:rsidR="00472AEC" w:rsidRPr="000F168D" w:rsidRDefault="00472AEC" w:rsidP="00AB30E2">
      <w:pPr>
        <w:jc w:val="both"/>
      </w:pPr>
    </w:p>
    <w:p w14:paraId="637CDEBE" w14:textId="77777777" w:rsidR="00472AEC" w:rsidRPr="000F168D" w:rsidRDefault="00472AEC" w:rsidP="00AB30E2">
      <w:pPr>
        <w:jc w:val="both"/>
      </w:pPr>
      <w:r w:rsidRPr="000F168D">
        <w:t xml:space="preserve">Levelezési cím: </w:t>
      </w:r>
      <w:r w:rsidRPr="000F168D">
        <w:rPr>
          <w:b/>
          <w:bCs/>
        </w:rPr>
        <w:t>Csillagászati és Földtudományi Kutatóközpont</w:t>
      </w:r>
    </w:p>
    <w:p w14:paraId="487A0A52" w14:textId="77777777" w:rsidR="00472AEC" w:rsidRPr="000F168D" w:rsidRDefault="00472AEC" w:rsidP="00AB30E2">
      <w:pPr>
        <w:jc w:val="both"/>
        <w:rPr>
          <w:b/>
          <w:bCs/>
        </w:rPr>
      </w:pPr>
      <w:r w:rsidRPr="000F168D">
        <w:tab/>
      </w:r>
      <w:r w:rsidRPr="000F168D">
        <w:tab/>
      </w:r>
      <w:r w:rsidRPr="000F168D">
        <w:rPr>
          <w:b/>
          <w:bCs/>
        </w:rPr>
        <w:t>1121 Budapest, Konkoly Thege Miklós u. 15-17.</w:t>
      </w:r>
    </w:p>
    <w:p w14:paraId="0CEAC9D4" w14:textId="77777777" w:rsidR="00472AEC" w:rsidRPr="000F168D" w:rsidRDefault="00472AEC" w:rsidP="00AB30E2">
      <w:pPr>
        <w:jc w:val="both"/>
        <w:rPr>
          <w:b/>
          <w:bCs/>
        </w:rPr>
      </w:pPr>
      <w:r w:rsidRPr="000F168D">
        <w:rPr>
          <w:b/>
          <w:bCs/>
        </w:rPr>
        <w:tab/>
      </w:r>
      <w:r w:rsidRPr="000F168D">
        <w:rPr>
          <w:b/>
          <w:bCs/>
        </w:rPr>
        <w:tab/>
        <w:t>A borítékra rá kell írni: "A belső kontrollfelelős részére!"</w:t>
      </w:r>
    </w:p>
    <w:p w14:paraId="71A04A50" w14:textId="264D7BEB" w:rsidR="00472AEC" w:rsidRPr="000F168D" w:rsidRDefault="00472AEC" w:rsidP="00454B3E">
      <w:pPr>
        <w:jc w:val="both"/>
      </w:pPr>
    </w:p>
    <w:p w14:paraId="01D329D9" w14:textId="77777777" w:rsidR="00472AEC" w:rsidRPr="000F168D" w:rsidRDefault="00472AEC" w:rsidP="00472AEC">
      <w:pPr>
        <w:rPr>
          <w:b/>
        </w:rPr>
      </w:pPr>
      <w:r w:rsidRPr="000F168D">
        <w:t>Kizárólag a fenti kapcsolattartási címekre érkező, pontosan címzett bejelentések esetén biztosított a Panasztörvényben előírt adatvédelmi rendelkezések teljesülése.</w:t>
      </w:r>
      <w:r w:rsidRPr="000F168D">
        <w:rPr>
          <w:b/>
        </w:rPr>
        <w:t xml:space="preserve"> </w:t>
      </w:r>
    </w:p>
    <w:p w14:paraId="47F3084F" w14:textId="77777777" w:rsidR="00472AEC" w:rsidRPr="000F168D" w:rsidRDefault="00472AEC" w:rsidP="00472AEC">
      <w:pPr>
        <w:rPr>
          <w:b/>
        </w:rPr>
      </w:pPr>
    </w:p>
    <w:p w14:paraId="6AD0B7A5" w14:textId="0A61AA21" w:rsidR="00472AEC" w:rsidRPr="000F168D" w:rsidRDefault="00472AEC" w:rsidP="00472AEC">
      <w:pPr>
        <w:rPr>
          <w:b/>
          <w:bCs/>
        </w:rPr>
      </w:pPr>
      <w:r w:rsidRPr="000F168D">
        <w:t xml:space="preserve">A bejelentés megtehető az erre kialakított sablon (4. melléklet) kitöltése és postai úton / e-mail mellékletként történő megküldése útján is. </w:t>
      </w:r>
      <w:r w:rsidRPr="000F168D">
        <w:rPr>
          <w:b/>
          <w:bCs/>
        </w:rPr>
        <w:t>Postai úton történő bejelentés esetében a borítékra rá kell írni: "A belső kontrollfelelős részére!"</w:t>
      </w:r>
    </w:p>
    <w:p w14:paraId="1CF9142B" w14:textId="77777777" w:rsidR="00472AEC" w:rsidRPr="000F168D" w:rsidRDefault="00472AEC" w:rsidP="00472AEC">
      <w:pPr>
        <w:jc w:val="both"/>
        <w:outlineLvl w:val="2"/>
        <w:rPr>
          <w:b/>
        </w:rPr>
      </w:pPr>
    </w:p>
    <w:p w14:paraId="1A878127" w14:textId="77777777" w:rsidR="00472AEC" w:rsidRPr="000F168D" w:rsidRDefault="00472AEC" w:rsidP="00472AEC">
      <w:pPr>
        <w:jc w:val="both"/>
      </w:pPr>
      <w:r w:rsidRPr="000F168D">
        <w:t>A bejelentéshez az alábbi információk megküldése szükséges:</w:t>
      </w:r>
    </w:p>
    <w:p w14:paraId="5B72833E" w14:textId="77777777" w:rsidR="00472AEC" w:rsidRPr="000F168D" w:rsidRDefault="00472AEC" w:rsidP="00472AEC">
      <w:pPr>
        <w:jc w:val="both"/>
      </w:pPr>
    </w:p>
    <w:p w14:paraId="5321C5B4" w14:textId="77777777" w:rsidR="00472AEC" w:rsidRPr="000F168D" w:rsidRDefault="00472AEC" w:rsidP="00472AEC">
      <w:pPr>
        <w:pStyle w:val="Listaszerbekezds"/>
        <w:numPr>
          <w:ilvl w:val="0"/>
          <w:numId w:val="25"/>
        </w:numPr>
        <w:jc w:val="both"/>
      </w:pPr>
      <w:r w:rsidRPr="000F168D">
        <w:t>bejelentő neve</w:t>
      </w:r>
    </w:p>
    <w:p w14:paraId="51AA5E9C" w14:textId="77777777" w:rsidR="00472AEC" w:rsidRPr="000F168D" w:rsidRDefault="00472AEC" w:rsidP="00472AEC">
      <w:pPr>
        <w:pStyle w:val="Listaszerbekezds"/>
        <w:numPr>
          <w:ilvl w:val="0"/>
          <w:numId w:val="25"/>
        </w:numPr>
        <w:jc w:val="both"/>
      </w:pPr>
      <w:r w:rsidRPr="000F168D">
        <w:t>kapcsolati adatai</w:t>
      </w:r>
    </w:p>
    <w:p w14:paraId="0FFC66CF" w14:textId="77777777" w:rsidR="00472AEC" w:rsidRPr="000F168D" w:rsidRDefault="00472AEC" w:rsidP="00472AEC">
      <w:pPr>
        <w:pStyle w:val="Listaszerbekezds"/>
        <w:numPr>
          <w:ilvl w:val="0"/>
          <w:numId w:val="25"/>
        </w:numPr>
        <w:jc w:val="both"/>
      </w:pPr>
      <w:r w:rsidRPr="000F168D">
        <w:t xml:space="preserve">a bejelentő kapcsolata a CSFK-val,  </w:t>
      </w:r>
    </w:p>
    <w:p w14:paraId="6100C866" w14:textId="77777777" w:rsidR="00472AEC" w:rsidRPr="000F168D" w:rsidRDefault="00472AEC" w:rsidP="00472AEC">
      <w:pPr>
        <w:pStyle w:val="Listaszerbekezds"/>
        <w:numPr>
          <w:ilvl w:val="0"/>
          <w:numId w:val="25"/>
        </w:numPr>
        <w:jc w:val="both"/>
      </w:pPr>
      <w:r w:rsidRPr="000F168D">
        <w:t>a jogsértés leírása.</w:t>
      </w:r>
    </w:p>
    <w:p w14:paraId="7614C98B" w14:textId="77777777" w:rsidR="00472AEC" w:rsidRPr="000F168D" w:rsidRDefault="00472AEC" w:rsidP="00472AEC"/>
    <w:p w14:paraId="429E2E78" w14:textId="0A881603" w:rsidR="00472AEC" w:rsidRPr="000F168D" w:rsidRDefault="00472AEC" w:rsidP="00454B3E">
      <w:pPr>
        <w:jc w:val="both"/>
      </w:pPr>
      <w:r w:rsidRPr="000F168D">
        <w:t xml:space="preserve">A bejelentéshez csatolhatók azok a bizonyítékok is, amelyre a bejelentő hivatkozni kíván az eljárás során.  </w:t>
      </w:r>
    </w:p>
    <w:p w14:paraId="72F663F3" w14:textId="77777777" w:rsidR="00263CC5" w:rsidRPr="000F168D" w:rsidRDefault="00263CC5" w:rsidP="00454B3E">
      <w:pPr>
        <w:jc w:val="both"/>
      </w:pPr>
    </w:p>
    <w:p w14:paraId="49724911" w14:textId="0F5B2F28" w:rsidR="006804FD" w:rsidRPr="000F168D" w:rsidRDefault="006804FD" w:rsidP="00454B3E">
      <w:pPr>
        <w:jc w:val="both"/>
      </w:pPr>
      <w:r w:rsidRPr="000F168D">
        <w:lastRenderedPageBreak/>
        <w:t>A</w:t>
      </w:r>
      <w:r w:rsidR="00BF5CE0" w:rsidRPr="000F168D">
        <w:t xml:space="preserve"> </w:t>
      </w:r>
      <w:r w:rsidR="00FF16D0" w:rsidRPr="000F168D">
        <w:t>CSFK</w:t>
      </w:r>
      <w:r w:rsidR="00BF5CE0" w:rsidRPr="000F168D">
        <w:t xml:space="preserve"> az </w:t>
      </w:r>
      <w:r w:rsidRPr="000F168D">
        <w:t>írásbeli</w:t>
      </w:r>
      <w:r w:rsidR="000A69D6" w:rsidRPr="000F168D">
        <w:t xml:space="preserve"> </w:t>
      </w:r>
      <w:r w:rsidRPr="000F168D">
        <w:t xml:space="preserve">bejelentés </w:t>
      </w:r>
      <w:r w:rsidR="0017669A" w:rsidRPr="000F168D">
        <w:rPr>
          <w:strike/>
        </w:rPr>
        <w:t>a belső kontroll felelős</w:t>
      </w:r>
      <w:r w:rsidR="0017669A" w:rsidRPr="000F168D">
        <w:t xml:space="preserve"> </w:t>
      </w:r>
      <w:r w:rsidRPr="000F168D">
        <w:t xml:space="preserve">kézhezvételétől számított hét </w:t>
      </w:r>
      <w:r w:rsidR="0017669A" w:rsidRPr="000F168D">
        <w:t xml:space="preserve">7 </w:t>
      </w:r>
      <w:r w:rsidRPr="000F168D">
        <w:t>napon belül a bejelentés megtételéről visszaigazolást küld a bejelentő</w:t>
      </w:r>
      <w:r w:rsidR="000A69D6" w:rsidRPr="000F168D">
        <w:t xml:space="preserve"> </w:t>
      </w:r>
      <w:r w:rsidRPr="000F168D">
        <w:t>számára. A visszaigazolás keretében a bejelentő részére általános tájékoztatást nyújt az</w:t>
      </w:r>
      <w:r w:rsidR="000A69D6" w:rsidRPr="000F168D">
        <w:t xml:space="preserve"> </w:t>
      </w:r>
      <w:r w:rsidRPr="000F168D">
        <w:t>eljárási és adatkezelési szabályokról.</w:t>
      </w:r>
    </w:p>
    <w:p w14:paraId="0C86C8D8" w14:textId="77777777" w:rsidR="00390132" w:rsidRPr="000F168D" w:rsidRDefault="00390132" w:rsidP="005F4E1C">
      <w:pPr>
        <w:jc w:val="both"/>
      </w:pPr>
    </w:p>
    <w:p w14:paraId="00E8C1D1" w14:textId="18849442" w:rsidR="005F4E1C" w:rsidRPr="000F168D" w:rsidRDefault="005F4E1C" w:rsidP="005F4E1C">
      <w:pPr>
        <w:jc w:val="both"/>
      </w:pPr>
      <w:r w:rsidRPr="000F168D">
        <w:t xml:space="preserve">A </w:t>
      </w:r>
      <w:r w:rsidR="00EB3306" w:rsidRPr="000F168D">
        <w:t>belső kontroll felelős</w:t>
      </w:r>
      <w:r w:rsidRPr="000F168D">
        <w:t xml:space="preserve"> minden egyes beérkezett bejelentésnek egyedi azonosító számot ad és a bejelentésekről </w:t>
      </w:r>
      <w:r w:rsidR="00D26A4E" w:rsidRPr="000F168D">
        <w:t xml:space="preserve">elektronikus </w:t>
      </w:r>
      <w:r w:rsidRPr="000F168D">
        <w:t xml:space="preserve">nyilvántartást vezet. </w:t>
      </w:r>
    </w:p>
    <w:p w14:paraId="43FDF690" w14:textId="77777777" w:rsidR="005F4E1C" w:rsidRPr="000F168D" w:rsidRDefault="005F4E1C" w:rsidP="005F4E1C">
      <w:pPr>
        <w:jc w:val="both"/>
      </w:pPr>
    </w:p>
    <w:p w14:paraId="476FB8AC" w14:textId="3989B325" w:rsidR="00C5400C" w:rsidRPr="000F168D" w:rsidRDefault="00C5400C" w:rsidP="005F4E1C">
      <w:pPr>
        <w:jc w:val="both"/>
      </w:pPr>
      <w:r w:rsidRPr="000F168D">
        <w:t xml:space="preserve">A postai úton érkezett dokumentumokat kulccsal zárt szekrényben köteles őrizni, amelyhez kizárólag a </w:t>
      </w:r>
      <w:r w:rsidR="00ED749F" w:rsidRPr="000F168D">
        <w:t xml:space="preserve">belső </w:t>
      </w:r>
      <w:r w:rsidR="00EB3306" w:rsidRPr="000F168D">
        <w:t>kontroll felelős</w:t>
      </w:r>
      <w:r w:rsidRPr="000F168D">
        <w:t xml:space="preserve"> jogosult hozzáférni. A postai úton érkező és illetve kiküldésre kerülő dokumentumok borítékjai fel nem bonthatók, kizárólag maga a boríték iktatható. </w:t>
      </w:r>
    </w:p>
    <w:p w14:paraId="240C75A1" w14:textId="77777777" w:rsidR="00C5400C" w:rsidRPr="000F168D" w:rsidRDefault="00C5400C" w:rsidP="005F4E1C">
      <w:pPr>
        <w:jc w:val="both"/>
      </w:pPr>
    </w:p>
    <w:p w14:paraId="0D095E7C" w14:textId="04B47566" w:rsidR="00C5400C" w:rsidRPr="000F168D" w:rsidRDefault="00C5400C" w:rsidP="005F4E1C">
      <w:pPr>
        <w:jc w:val="both"/>
      </w:pPr>
      <w:r w:rsidRPr="000F168D">
        <w:t xml:space="preserve">Az elektronikus úton érkező dokumentumok egy külön fájlmappában kerülnek tárolásra, amelyekhez hozzáférési jogosultsággal kizárólag a </w:t>
      </w:r>
      <w:r w:rsidR="00ED749F" w:rsidRPr="000F168D">
        <w:t xml:space="preserve">belső </w:t>
      </w:r>
      <w:r w:rsidR="00EB3306" w:rsidRPr="000F168D">
        <w:t>kontroll felelős</w:t>
      </w:r>
      <w:r w:rsidRPr="000F168D">
        <w:t xml:space="preserve"> rendelkez</w:t>
      </w:r>
      <w:r w:rsidR="00EB3306" w:rsidRPr="000F168D">
        <w:t>i</w:t>
      </w:r>
      <w:r w:rsidRPr="000F168D">
        <w:t xml:space="preserve">k. </w:t>
      </w:r>
    </w:p>
    <w:p w14:paraId="3B7A68FB" w14:textId="77777777" w:rsidR="00C5400C" w:rsidRPr="000F168D" w:rsidRDefault="00C5400C" w:rsidP="005F4E1C">
      <w:pPr>
        <w:jc w:val="both"/>
      </w:pPr>
    </w:p>
    <w:p w14:paraId="50AE5ECB" w14:textId="663EC047" w:rsidR="00321636" w:rsidRPr="000F168D" w:rsidRDefault="00321636" w:rsidP="00321636">
      <w:pPr>
        <w:jc w:val="both"/>
      </w:pPr>
      <w:r w:rsidRPr="000F168D">
        <w:rPr>
          <w:color w:val="242021"/>
        </w:rPr>
        <w:t xml:space="preserve">A bejelentéseket a </w:t>
      </w:r>
      <w:r w:rsidR="00ED749F" w:rsidRPr="000F168D">
        <w:rPr>
          <w:color w:val="242021"/>
        </w:rPr>
        <w:t xml:space="preserve">belső </w:t>
      </w:r>
      <w:r w:rsidR="00EB3306" w:rsidRPr="000F168D">
        <w:rPr>
          <w:color w:val="242021"/>
        </w:rPr>
        <w:t>kontroll felelős</w:t>
      </w:r>
      <w:r w:rsidRPr="000F168D">
        <w:rPr>
          <w:color w:val="242021"/>
        </w:rPr>
        <w:t xml:space="preserve"> vizsgálja ki, de amennyiben a bejelentés</w:t>
      </w:r>
      <w:r w:rsidR="00ED749F" w:rsidRPr="000F168D">
        <w:rPr>
          <w:color w:val="242021"/>
        </w:rPr>
        <w:t xml:space="preserve"> kivizsgálásához más terület is kapcsolódik</w:t>
      </w:r>
      <w:r w:rsidR="00EE2549" w:rsidRPr="000F168D">
        <w:rPr>
          <w:color w:val="242021"/>
        </w:rPr>
        <w:t>,</w:t>
      </w:r>
      <w:r w:rsidRPr="000F168D">
        <w:rPr>
          <w:color w:val="242021"/>
        </w:rPr>
        <w:t xml:space="preserve"> akkor az eljárásba, az adott eset kivizsgálásába a</w:t>
      </w:r>
      <w:r w:rsidR="00ED749F" w:rsidRPr="000F168D">
        <w:rPr>
          <w:color w:val="242021"/>
        </w:rPr>
        <w:t>z adott terület</w:t>
      </w:r>
      <w:r w:rsidRPr="000F168D">
        <w:rPr>
          <w:color w:val="242021"/>
        </w:rPr>
        <w:t xml:space="preserve"> bevonásra kerül. </w:t>
      </w:r>
    </w:p>
    <w:p w14:paraId="1207CF74" w14:textId="77777777" w:rsidR="00321636" w:rsidRPr="000F168D" w:rsidRDefault="00321636" w:rsidP="00C5400C">
      <w:pPr>
        <w:jc w:val="both"/>
      </w:pPr>
    </w:p>
    <w:p w14:paraId="7B9D8D45" w14:textId="1D7FD2AE" w:rsidR="00321636" w:rsidRPr="000F168D" w:rsidRDefault="00C5400C" w:rsidP="00C5400C">
      <w:pPr>
        <w:jc w:val="both"/>
      </w:pPr>
      <w:r w:rsidRPr="000F168D">
        <w:t xml:space="preserve">A belső visszaélés-bejelentési rendszert úgy kell kialakítani, hogy a személyazonosságát felfedő bejelentő, valamint a bejelentésben érintett személy személyes adatait az erre jogosultakon kívül más ne ismerhesse meg. A bejelentést kivizsgáló személyek a vizsgálat lezárásáig vagy a vizsgálat eredményeképpen történő formális felelősségre vonás kezdeményezéséig a bejelentés tartalmára és a bejelentésben érintett személyre vonatkozó információkat – a bejelentésben érintett személy tájékoztatásán túl – a </w:t>
      </w:r>
      <w:r w:rsidR="00EB3306" w:rsidRPr="000F168D">
        <w:t>CSFK</w:t>
      </w:r>
      <w:r w:rsidRPr="000F168D">
        <w:t xml:space="preserve"> más szervezeti egységével vagy munkatársával a vizsgálat lefolytatásához feltétlenül szükséges mértékben oszthatják meg. Ennek érdekében amennyiben a </w:t>
      </w:r>
      <w:r w:rsidR="00ED749F" w:rsidRPr="000F168D">
        <w:t xml:space="preserve">belső </w:t>
      </w:r>
      <w:r w:rsidR="00EB3306" w:rsidRPr="000F168D">
        <w:t>kontroll felelősön</w:t>
      </w:r>
      <w:r w:rsidRPr="000F168D">
        <w:t xml:space="preserve"> kívül más munkatárs bevonása is szükségessé válik a vizsgálatba, úgy a munkatárs a jelen szabályzat </w:t>
      </w:r>
      <w:r w:rsidR="00AD53B2" w:rsidRPr="000F168D">
        <w:t>5.</w:t>
      </w:r>
      <w:r w:rsidRPr="000F168D">
        <w:t xml:space="preserve"> mellékletét képező titoktartási nyilatkozatot kitölteni és az abban foglaltakat betartani köteles. A munkatárs bevonás</w:t>
      </w:r>
      <w:r w:rsidR="007357BA" w:rsidRPr="000F168D">
        <w:t>a esetén</w:t>
      </w:r>
      <w:r w:rsidRPr="000F168D">
        <w:t xml:space="preserve"> kizárólag ennek tényéről tájékoztatja</w:t>
      </w:r>
      <w:r w:rsidR="007357BA" w:rsidRPr="000F168D">
        <w:t xml:space="preserve"> a munkatárs</w:t>
      </w:r>
      <w:r w:rsidRPr="000F168D">
        <w:t xml:space="preserve"> felettesét a </w:t>
      </w:r>
      <w:r w:rsidR="00ED749F" w:rsidRPr="000F168D">
        <w:t xml:space="preserve">belső </w:t>
      </w:r>
      <w:r w:rsidR="00EB3306" w:rsidRPr="000F168D">
        <w:t>kontroll felelős</w:t>
      </w:r>
      <w:r w:rsidRPr="000F168D">
        <w:t>.</w:t>
      </w:r>
      <w:r w:rsidR="00321636" w:rsidRPr="000F168D">
        <w:t xml:space="preserve"> </w:t>
      </w:r>
    </w:p>
    <w:p w14:paraId="63AE7B80" w14:textId="77777777" w:rsidR="00472AEC" w:rsidRPr="000F168D" w:rsidRDefault="00472AEC" w:rsidP="00C5400C">
      <w:pPr>
        <w:jc w:val="both"/>
      </w:pPr>
    </w:p>
    <w:p w14:paraId="72152822" w14:textId="106341AE" w:rsidR="00472AEC" w:rsidRPr="000F168D" w:rsidRDefault="00472AEC" w:rsidP="00472AEC">
      <w:pPr>
        <w:jc w:val="both"/>
      </w:pPr>
      <w:r w:rsidRPr="000F168D">
        <w:t>A CSFK a honlapján, illetve Intranetes felületén is feltünteti a bejelentéstételhez biztosított elérhetőségeit és a belső visszaélés bejelentési rendszerről szóló tájékoztatót (3. sz. melléklet) Elérhetővé teszi továbbá a bejelentéstételre kialakított sablont.</w:t>
      </w:r>
    </w:p>
    <w:p w14:paraId="30B1974B" w14:textId="77777777" w:rsidR="00472AEC" w:rsidRPr="000F168D" w:rsidRDefault="00472AEC" w:rsidP="00472AEC">
      <w:pPr>
        <w:jc w:val="both"/>
      </w:pPr>
    </w:p>
    <w:p w14:paraId="2805DD42" w14:textId="77777777" w:rsidR="00472AEC" w:rsidRPr="000F168D" w:rsidRDefault="00472AEC" w:rsidP="00472AEC">
      <w:pPr>
        <w:jc w:val="both"/>
      </w:pPr>
      <w:r w:rsidRPr="000F168D">
        <w:t>A CSFK oktatás keretében tájékoztatja a foglalkoztatottakat a jelen szabályzatban foglaltakról, valamint a jelen szabályzat hatályba lépését követően megkötésre vagy módosításra kerülő szerződésekben hivatkozik a belső visszaélés-bejelentési szabályozás elérhetőségéről.</w:t>
      </w:r>
    </w:p>
    <w:p w14:paraId="7E915F16" w14:textId="77777777" w:rsidR="00472AEC" w:rsidRPr="000F168D" w:rsidRDefault="00472AEC" w:rsidP="00C5400C">
      <w:pPr>
        <w:jc w:val="both"/>
      </w:pPr>
    </w:p>
    <w:p w14:paraId="43343AF4" w14:textId="77777777" w:rsidR="00921629" w:rsidRPr="000F168D" w:rsidRDefault="00921629" w:rsidP="006804FD">
      <w:pPr>
        <w:jc w:val="both"/>
        <w:outlineLvl w:val="2"/>
        <w:rPr>
          <w:b/>
        </w:rPr>
      </w:pPr>
    </w:p>
    <w:p w14:paraId="4957337D" w14:textId="77777777" w:rsidR="00E31F4F" w:rsidRPr="000F168D" w:rsidRDefault="00C675D8" w:rsidP="00E31F4F">
      <w:pPr>
        <w:numPr>
          <w:ilvl w:val="1"/>
          <w:numId w:val="2"/>
        </w:numPr>
        <w:ind w:left="709" w:hanging="425"/>
        <w:jc w:val="both"/>
        <w:outlineLvl w:val="1"/>
        <w:rPr>
          <w:b/>
        </w:rPr>
      </w:pPr>
      <w:bookmarkStart w:id="38" w:name="_Toc117843306"/>
      <w:bookmarkStart w:id="39" w:name="_Toc117248820"/>
      <w:bookmarkStart w:id="40" w:name="_Toc83974727"/>
      <w:bookmarkStart w:id="41" w:name="_Toc21942037"/>
      <w:bookmarkStart w:id="42" w:name="_Toc21427558"/>
      <w:bookmarkStart w:id="43" w:name="_Toc21425255"/>
      <w:bookmarkStart w:id="44" w:name="_Toc21425123"/>
      <w:r w:rsidRPr="000F168D">
        <w:rPr>
          <w:b/>
        </w:rPr>
        <w:t xml:space="preserve"> </w:t>
      </w:r>
      <w:bookmarkStart w:id="45" w:name="_Toc138772520"/>
      <w:bookmarkEnd w:id="38"/>
      <w:bookmarkEnd w:id="39"/>
      <w:bookmarkEnd w:id="40"/>
      <w:bookmarkEnd w:id="41"/>
      <w:bookmarkEnd w:id="42"/>
      <w:bookmarkEnd w:id="43"/>
      <w:bookmarkEnd w:id="44"/>
      <w:r w:rsidRPr="000F168D">
        <w:rPr>
          <w:b/>
        </w:rPr>
        <w:t>A bejelentések elintézése</w:t>
      </w:r>
      <w:r w:rsidR="004D5998" w:rsidRPr="000F168D">
        <w:rPr>
          <w:b/>
        </w:rPr>
        <w:t>/ eljárási szabályok</w:t>
      </w:r>
      <w:bookmarkEnd w:id="45"/>
    </w:p>
    <w:p w14:paraId="315F2671" w14:textId="77777777" w:rsidR="006804FD" w:rsidRPr="000F168D" w:rsidRDefault="006804FD" w:rsidP="006804FD">
      <w:pPr>
        <w:jc w:val="both"/>
        <w:outlineLvl w:val="1"/>
        <w:rPr>
          <w:b/>
        </w:rPr>
      </w:pPr>
    </w:p>
    <w:p w14:paraId="4A081C6A" w14:textId="77777777" w:rsidR="00472AEC" w:rsidRPr="000F168D" w:rsidRDefault="00472AEC" w:rsidP="00472AEC">
      <w:pPr>
        <w:jc w:val="both"/>
      </w:pPr>
      <w:r w:rsidRPr="000F168D">
        <w:t xml:space="preserve">A bejelentésben érintett személyt, illetve azt, aki a bejelentésben foglaltakról érdemi információval rendelkezik a vizsgálat megkezdésekor részletesen tájékoztatni kell a bejelentésről, a személyes adatai kezelésére vonatkozó szabályokról, érintetti jogairól. </w:t>
      </w:r>
    </w:p>
    <w:p w14:paraId="3436DD2F" w14:textId="77777777" w:rsidR="00472AEC" w:rsidRPr="000F168D" w:rsidRDefault="00472AEC" w:rsidP="00472AEC">
      <w:pPr>
        <w:jc w:val="both"/>
      </w:pPr>
    </w:p>
    <w:p w14:paraId="3EFFD077" w14:textId="0178C058" w:rsidR="00472AEC" w:rsidRPr="000F168D" w:rsidRDefault="00472AEC" w:rsidP="00A941AC">
      <w:pPr>
        <w:jc w:val="both"/>
      </w:pPr>
      <w:r w:rsidRPr="000F168D">
        <w:t xml:space="preserve">A bejelentésben érintett személy a bejelentéssel kapcsolatos álláspontját jogi képviselője útján is kifejtheti, és azt bizonyítékokkal alátámaszthatja. A bejelentésben érintett személy </w:t>
      </w:r>
      <w:r w:rsidRPr="000F168D">
        <w:lastRenderedPageBreak/>
        <w:t>tájékoztatására kivételesen később is sor kerülhet, ha az azonnali tájékoztatás meghiúsítaná a bejelentés kivizsgálását. Ha a bejelentés természetes személyre vonatkozik, az e természetes személyt megillető, a személyes adatok védelmére vonatkozó előírások szerinti, a tájékoztatáshoz és hozzáféréshez való joga gyakorlása során a bejelentő személyes adatai nem tehetők megismerhetővé a tájékoztatást kérő személy számára.</w:t>
      </w:r>
    </w:p>
    <w:p w14:paraId="3563C7EB" w14:textId="77777777" w:rsidR="00472AEC" w:rsidRPr="000F168D" w:rsidRDefault="00472AEC" w:rsidP="00A941AC">
      <w:pPr>
        <w:jc w:val="both"/>
      </w:pPr>
    </w:p>
    <w:p w14:paraId="3A853C41" w14:textId="46E2EAB7" w:rsidR="006804FD" w:rsidRPr="000F168D" w:rsidRDefault="00A941AC" w:rsidP="00A941AC">
      <w:pPr>
        <w:jc w:val="both"/>
      </w:pPr>
      <w:r w:rsidRPr="000F168D">
        <w:t xml:space="preserve">A </w:t>
      </w:r>
      <w:r w:rsidR="00ED749F" w:rsidRPr="000F168D">
        <w:t xml:space="preserve">belső </w:t>
      </w:r>
      <w:r w:rsidR="00EB3306" w:rsidRPr="000F168D">
        <w:t>kontroll felelős</w:t>
      </w:r>
      <w:r w:rsidRPr="000F168D">
        <w:t xml:space="preserve"> </w:t>
      </w:r>
      <w:r w:rsidR="006804FD" w:rsidRPr="000F168D">
        <w:t>a bejelentésben foglaltakat a körülmények által lehetővé tett</w:t>
      </w:r>
      <w:r w:rsidR="000A69D6" w:rsidRPr="000F168D">
        <w:t xml:space="preserve"> </w:t>
      </w:r>
      <w:r w:rsidR="006804FD" w:rsidRPr="000F168D">
        <w:t xml:space="preserve">legrövidebb időn belül, de legfeljebb a bejelentés beérkezésétől számított </w:t>
      </w:r>
      <w:r w:rsidR="00472AEC" w:rsidRPr="000F168D">
        <w:t>3</w:t>
      </w:r>
      <w:r w:rsidR="0017669A" w:rsidRPr="000F168D">
        <w:t xml:space="preserve">0 </w:t>
      </w:r>
      <w:r w:rsidR="006804FD" w:rsidRPr="000F168D">
        <w:t>napon belül kivizsgálja.</w:t>
      </w:r>
      <w:r w:rsidRPr="000F168D">
        <w:t xml:space="preserve"> A </w:t>
      </w:r>
      <w:r w:rsidR="006804FD" w:rsidRPr="000F168D">
        <w:t>határidőt különösen indokolt esetben, a bejelentő egyidejű tájékoztatása mellett</w:t>
      </w:r>
      <w:r w:rsidR="000A69D6" w:rsidRPr="000F168D">
        <w:t xml:space="preserve"> </w:t>
      </w:r>
      <w:r w:rsidR="006804FD" w:rsidRPr="000F168D">
        <w:t>meg</w:t>
      </w:r>
      <w:r w:rsidRPr="000F168D">
        <w:t xml:space="preserve"> lehet </w:t>
      </w:r>
      <w:r w:rsidR="006804FD" w:rsidRPr="000F168D">
        <w:t>hosszabbítani. A bejelentő ebben az esetben a kivizsgálás várható időpontjáról és a kivizsgálás</w:t>
      </w:r>
      <w:r w:rsidR="000A69D6" w:rsidRPr="000F168D">
        <w:t xml:space="preserve"> </w:t>
      </w:r>
      <w:r w:rsidR="006804FD" w:rsidRPr="000F168D">
        <w:t>meghosszabbítása indokairól tájékozta</w:t>
      </w:r>
      <w:r w:rsidRPr="000F168D">
        <w:t>tásra kerül</w:t>
      </w:r>
      <w:r w:rsidR="006804FD" w:rsidRPr="000F168D">
        <w:t>. A bejelentés kivizsgálásának és a bejelentő tájékoztatásának határideje a meghosszabbítás esetén sem haladhatja meg a három hónapot.</w:t>
      </w:r>
    </w:p>
    <w:p w14:paraId="60CA8921" w14:textId="793BBEA3" w:rsidR="006804FD" w:rsidRPr="000F168D" w:rsidRDefault="006804FD" w:rsidP="00A941AC">
      <w:pPr>
        <w:jc w:val="both"/>
      </w:pPr>
      <w:r w:rsidRPr="000F168D">
        <w:br/>
        <w:t>A bejelentés kivizsgálása során kapcsolatot tart a bejelentővel,</w:t>
      </w:r>
      <w:r w:rsidR="000A69D6" w:rsidRPr="000F168D">
        <w:t xml:space="preserve"> </w:t>
      </w:r>
      <w:r w:rsidRPr="000F168D">
        <w:t>ennek keretében a bejelentés kiegészítésére, pontosítására, a tényállás</w:t>
      </w:r>
      <w:r w:rsidR="000A69D6" w:rsidRPr="000F168D">
        <w:t xml:space="preserve"> </w:t>
      </w:r>
      <w:r w:rsidRPr="000F168D">
        <w:t>tisztázására, valamint további információk</w:t>
      </w:r>
      <w:r w:rsidR="000A69D6" w:rsidRPr="000F168D">
        <w:t xml:space="preserve"> </w:t>
      </w:r>
      <w:r w:rsidRPr="000F168D">
        <w:t>rendelkezésre bocsátására hívhatja fel a bejelentőt.</w:t>
      </w:r>
    </w:p>
    <w:p w14:paraId="6FD67778" w14:textId="77777777" w:rsidR="00A941AC" w:rsidRPr="000F168D" w:rsidRDefault="006804FD" w:rsidP="00A941AC">
      <w:pPr>
        <w:jc w:val="both"/>
      </w:pPr>
      <w:r w:rsidRPr="000F168D">
        <w:br/>
      </w:r>
      <w:r w:rsidRPr="000F168D">
        <w:rPr>
          <w:b/>
          <w:bCs/>
        </w:rPr>
        <w:t>A bejelentés kivizsgálása mellőzhető</w:t>
      </w:r>
      <w:r w:rsidRPr="000F168D">
        <w:t>, ha</w:t>
      </w:r>
    </w:p>
    <w:p w14:paraId="226EDFC4" w14:textId="77777777" w:rsidR="00A941AC" w:rsidRPr="000F168D" w:rsidRDefault="006804FD" w:rsidP="00A941AC">
      <w:pPr>
        <w:pStyle w:val="Listaszerbekezds"/>
        <w:numPr>
          <w:ilvl w:val="0"/>
          <w:numId w:val="12"/>
        </w:numPr>
        <w:jc w:val="both"/>
      </w:pPr>
      <w:r w:rsidRPr="000F168D">
        <w:t>a bejelentést azonosíthatatlan bejelentő tette meg,</w:t>
      </w:r>
    </w:p>
    <w:p w14:paraId="22B2AFA2" w14:textId="77777777" w:rsidR="00A941AC" w:rsidRPr="000F168D" w:rsidRDefault="006804FD" w:rsidP="00A941AC">
      <w:pPr>
        <w:pStyle w:val="Listaszerbekezds"/>
        <w:numPr>
          <w:ilvl w:val="0"/>
          <w:numId w:val="12"/>
        </w:numPr>
        <w:jc w:val="both"/>
      </w:pPr>
      <w:r w:rsidRPr="000F168D">
        <w:t xml:space="preserve">a bejelentést nem </w:t>
      </w:r>
      <w:r w:rsidR="000A69D6" w:rsidRPr="000F168D">
        <w:t xml:space="preserve">az </w:t>
      </w:r>
      <w:r w:rsidRPr="000F168D">
        <w:t>erre jogosult személy tette meg,</w:t>
      </w:r>
    </w:p>
    <w:p w14:paraId="31D00D08" w14:textId="1DF6A7DA" w:rsidR="00A941AC" w:rsidRPr="000F168D" w:rsidRDefault="006804FD" w:rsidP="00A941AC">
      <w:pPr>
        <w:pStyle w:val="Listaszerbekezds"/>
        <w:numPr>
          <w:ilvl w:val="0"/>
          <w:numId w:val="12"/>
        </w:numPr>
        <w:jc w:val="both"/>
      </w:pPr>
      <w:r w:rsidRPr="000F168D">
        <w:t>a bejelentés ugyanazon bejelentő által tett ismételt, a korábbi bejelentéssel azonos tartalmú</w:t>
      </w:r>
      <w:r w:rsidR="00A941AC" w:rsidRPr="000F168D">
        <w:t xml:space="preserve"> </w:t>
      </w:r>
      <w:r w:rsidRPr="000F168D">
        <w:t>bejelentés,</w:t>
      </w:r>
      <w:r w:rsidR="00A941AC" w:rsidRPr="000F168D">
        <w:t xml:space="preserve"> </w:t>
      </w:r>
      <w:r w:rsidRPr="000F168D">
        <w:t>illetve</w:t>
      </w:r>
    </w:p>
    <w:p w14:paraId="54FBA788" w14:textId="3F837944" w:rsidR="006804FD" w:rsidRPr="000F168D" w:rsidRDefault="006804FD" w:rsidP="00A941AC">
      <w:pPr>
        <w:pStyle w:val="Listaszerbekezds"/>
        <w:numPr>
          <w:ilvl w:val="0"/>
          <w:numId w:val="12"/>
        </w:numPr>
        <w:jc w:val="both"/>
      </w:pPr>
      <w:r w:rsidRPr="000F168D">
        <w:t>a közérdek vagy a nyomós magánérdek sérelme a bejelentésben érintett természetes személy, illetve jogi</w:t>
      </w:r>
      <w:r w:rsidR="000A69D6" w:rsidRPr="000F168D">
        <w:t xml:space="preserve"> </w:t>
      </w:r>
      <w:r w:rsidRPr="000F168D">
        <w:t>személy (a továbbiakban együtt: bejelentésben érintett személy) jogainak a bejelentés kivizsgálásából eredő</w:t>
      </w:r>
      <w:r w:rsidR="000A69D6" w:rsidRPr="000F168D">
        <w:t xml:space="preserve"> </w:t>
      </w:r>
      <w:r w:rsidRPr="000F168D">
        <w:t>korlátozásával nem állna arányban.</w:t>
      </w:r>
    </w:p>
    <w:p w14:paraId="6D655126" w14:textId="77777777" w:rsidR="00C5400C" w:rsidRPr="000F168D" w:rsidRDefault="00C5400C" w:rsidP="00A941AC">
      <w:pPr>
        <w:jc w:val="both"/>
      </w:pPr>
    </w:p>
    <w:p w14:paraId="06259783" w14:textId="77777777" w:rsidR="00472AEC" w:rsidRPr="000F168D" w:rsidRDefault="00472AEC" w:rsidP="00472AEC">
      <w:pPr>
        <w:jc w:val="both"/>
        <w:rPr>
          <w:b/>
          <w:bCs/>
        </w:rPr>
      </w:pPr>
      <w:r w:rsidRPr="000F168D">
        <w:rPr>
          <w:b/>
          <w:bCs/>
        </w:rPr>
        <w:t>Azonosíthatatlan személy által tett bejelentés nem kerül kivizsgálásra.</w:t>
      </w:r>
    </w:p>
    <w:p w14:paraId="7425AFA4" w14:textId="77777777" w:rsidR="00C5400C" w:rsidRPr="000F168D" w:rsidRDefault="00C5400C" w:rsidP="00A941AC">
      <w:pPr>
        <w:jc w:val="both"/>
      </w:pPr>
    </w:p>
    <w:p w14:paraId="5556DF80" w14:textId="62E711D1" w:rsidR="006804FD" w:rsidRPr="000F168D" w:rsidRDefault="006804FD" w:rsidP="00A941AC">
      <w:pPr>
        <w:jc w:val="both"/>
      </w:pPr>
      <w:r w:rsidRPr="000F168D">
        <w:t>A bejelentés kivizsgálása során értékelni kell a bejelentésben foglalt körülmények helytállóságát, és meg kell hozni</w:t>
      </w:r>
      <w:r w:rsidR="000A69D6" w:rsidRPr="000F168D">
        <w:t xml:space="preserve"> </w:t>
      </w:r>
      <w:r w:rsidRPr="000F168D">
        <w:t>azokat az intézkedéseket, amelyek alkalmasak a visszaélések orvoslására.</w:t>
      </w:r>
    </w:p>
    <w:p w14:paraId="00C91C34" w14:textId="70910B98" w:rsidR="006804FD" w:rsidRPr="000F168D" w:rsidRDefault="006804FD" w:rsidP="00A941AC">
      <w:pPr>
        <w:jc w:val="both"/>
      </w:pPr>
      <w:r w:rsidRPr="000F168D">
        <w:br/>
        <w:t>Ha a bejelentés alapján büntetőeljárás kezdeményezése indokolt, akkor intézkedni kell a feljelentés megtételéről.</w:t>
      </w:r>
    </w:p>
    <w:p w14:paraId="75D9C094" w14:textId="26B44198" w:rsidR="006804FD" w:rsidRPr="000F168D" w:rsidRDefault="006804FD" w:rsidP="00A941AC">
      <w:pPr>
        <w:jc w:val="both"/>
      </w:pPr>
      <w:r w:rsidRPr="000F168D">
        <w:br/>
        <w:t xml:space="preserve">A </w:t>
      </w:r>
      <w:r w:rsidR="00ED749F" w:rsidRPr="000F168D">
        <w:t xml:space="preserve">belső </w:t>
      </w:r>
      <w:r w:rsidR="00EB3306" w:rsidRPr="000F168D">
        <w:t>kontroll felelős</w:t>
      </w:r>
      <w:r w:rsidR="00A941AC" w:rsidRPr="000F168D">
        <w:t xml:space="preserve"> a </w:t>
      </w:r>
      <w:r w:rsidRPr="000F168D">
        <w:t>bejelentés kivizsgálásáról vagy annak mellőzéséről és</w:t>
      </w:r>
      <w:r w:rsidR="000A69D6" w:rsidRPr="000F168D">
        <w:t xml:space="preserve"> </w:t>
      </w:r>
      <w:r w:rsidRPr="000F168D">
        <w:t>a mellőzés indokáról, a bejelentés kivizsgálásának az eredményéről, a megtett vagy tervezett intézkedésekről</w:t>
      </w:r>
      <w:r w:rsidR="000A69D6" w:rsidRPr="000F168D">
        <w:t xml:space="preserve"> </w:t>
      </w:r>
      <w:r w:rsidRPr="000F168D">
        <w:t>a bejelentőt írásban tájékoztatja.</w:t>
      </w:r>
      <w:r w:rsidR="00A941AC" w:rsidRPr="000F168D">
        <w:t xml:space="preserve"> </w:t>
      </w:r>
      <w:r w:rsidRPr="000F168D">
        <w:t>Az írásbeli tájékoztatás mellőzhető, ha a belső visszaélés-bejelentési rendszer működtetője a bejelentőt szóban tájékoztatta, aki a tájékoztatást tudomásul vette.</w:t>
      </w:r>
    </w:p>
    <w:p w14:paraId="579134AF" w14:textId="77777777" w:rsidR="00A941AC" w:rsidRPr="000F168D" w:rsidRDefault="00A941AC" w:rsidP="00A941AC">
      <w:pPr>
        <w:jc w:val="both"/>
      </w:pPr>
    </w:p>
    <w:p w14:paraId="488AE54D" w14:textId="77777777" w:rsidR="00C675D8" w:rsidRPr="000F168D" w:rsidRDefault="00C675D8" w:rsidP="00A941AC">
      <w:pPr>
        <w:ind w:left="709"/>
        <w:jc w:val="both"/>
        <w:outlineLvl w:val="1"/>
        <w:rPr>
          <w:b/>
        </w:rPr>
      </w:pPr>
    </w:p>
    <w:p w14:paraId="138B854E" w14:textId="04A3EA6D" w:rsidR="00C675D8" w:rsidRPr="000F168D" w:rsidRDefault="00C675D8" w:rsidP="00A941AC">
      <w:pPr>
        <w:numPr>
          <w:ilvl w:val="1"/>
          <w:numId w:val="2"/>
        </w:numPr>
        <w:ind w:left="709" w:hanging="425"/>
        <w:jc w:val="both"/>
        <w:outlineLvl w:val="1"/>
        <w:rPr>
          <w:b/>
        </w:rPr>
      </w:pPr>
      <w:bookmarkStart w:id="46" w:name="_Toc138772521"/>
      <w:r w:rsidRPr="000F168D">
        <w:rPr>
          <w:b/>
        </w:rPr>
        <w:t>A bejelentő személy védelmére vonatkozó rendelkezések</w:t>
      </w:r>
      <w:bookmarkEnd w:id="46"/>
    </w:p>
    <w:p w14:paraId="1F64F951" w14:textId="7FBD6839" w:rsidR="00254CCE" w:rsidRPr="000F168D" w:rsidRDefault="00254CCE" w:rsidP="00254CCE">
      <w:pPr>
        <w:jc w:val="both"/>
        <w:outlineLvl w:val="1"/>
        <w:rPr>
          <w:b/>
        </w:rPr>
      </w:pPr>
    </w:p>
    <w:p w14:paraId="0AE2944C" w14:textId="7678AC6B" w:rsidR="00390132" w:rsidRPr="000F168D" w:rsidRDefault="00390132" w:rsidP="00EE7377">
      <w:pPr>
        <w:jc w:val="both"/>
        <w:outlineLvl w:val="1"/>
        <w:rPr>
          <w:b/>
        </w:rPr>
      </w:pPr>
      <w:bookmarkStart w:id="47" w:name="_Toc138772522"/>
      <w:r w:rsidRPr="000F168D">
        <w:rPr>
          <w:b/>
        </w:rPr>
        <w:t>Védelemre jogosultak köre</w:t>
      </w:r>
      <w:bookmarkEnd w:id="47"/>
    </w:p>
    <w:p w14:paraId="5EB149CE" w14:textId="77777777" w:rsidR="00EE7377" w:rsidRPr="000F168D" w:rsidRDefault="00EE7377" w:rsidP="005F4E1C">
      <w:pPr>
        <w:jc w:val="both"/>
      </w:pPr>
    </w:p>
    <w:p w14:paraId="369715D0" w14:textId="0D77C31E" w:rsidR="00EE7377" w:rsidRPr="000F168D" w:rsidRDefault="00EE7377" w:rsidP="00EE7377">
      <w:pPr>
        <w:jc w:val="both"/>
      </w:pPr>
      <w:r w:rsidRPr="000F168D">
        <w:t xml:space="preserve">A jelen pontban leírt védelem – a III. iii) pontjában foglaltakat kivéve – kizárólag akkor illeti meg a bejelentőt, ha </w:t>
      </w:r>
    </w:p>
    <w:p w14:paraId="5D2C9CCF" w14:textId="77777777" w:rsidR="00EE7377" w:rsidRPr="000F168D" w:rsidRDefault="00EE7377" w:rsidP="00EE7377">
      <w:pPr>
        <w:jc w:val="both"/>
      </w:pPr>
      <w:r w:rsidRPr="000F168D">
        <w:lastRenderedPageBreak/>
        <w:t xml:space="preserve">a) a bejelentéssel érintett körülményekre vonatkozó, bejelentett információ az 1. mellékletben, illetve a 2. mellékletben szereplő európai uniós jogi aktusok vagy azok végrehajtását, az azoknak való megfelelést biztosító jogszabályi rendelkezések hatálya alá tartozik, vagy </w:t>
      </w:r>
    </w:p>
    <w:p w14:paraId="13889FA6" w14:textId="77777777" w:rsidR="00EE7377" w:rsidRPr="000F168D" w:rsidRDefault="00EE7377" w:rsidP="00EE7377">
      <w:pPr>
        <w:jc w:val="both"/>
      </w:pPr>
      <w:r w:rsidRPr="000F168D">
        <w:t xml:space="preserve">b) a bejelentő az a) pont szerinti körülmény fennállását alapos okkal feltételezi. </w:t>
      </w:r>
    </w:p>
    <w:p w14:paraId="7B614CBD" w14:textId="77777777" w:rsidR="00EE7377" w:rsidRPr="000F168D" w:rsidRDefault="00EE7377" w:rsidP="00EE7377">
      <w:pPr>
        <w:jc w:val="both"/>
      </w:pPr>
    </w:p>
    <w:p w14:paraId="5EC9D9A8" w14:textId="77777777" w:rsidR="00EE7377" w:rsidRPr="000F168D" w:rsidRDefault="00EE7377" w:rsidP="00EE7377">
      <w:pPr>
        <w:jc w:val="both"/>
      </w:pPr>
      <w:r w:rsidRPr="000F168D">
        <w:t xml:space="preserve">A III. pontban leírt védelem – a III. iii) pontjában foglaltakat kivéve – nem illeti meg a bejelentőt, ha </w:t>
      </w:r>
    </w:p>
    <w:p w14:paraId="00AFEA8F" w14:textId="77777777" w:rsidR="00EE7377" w:rsidRPr="000F168D" w:rsidRDefault="00EE7377" w:rsidP="00EE7377">
      <w:pPr>
        <w:pStyle w:val="Listaszerbekezds"/>
        <w:numPr>
          <w:ilvl w:val="0"/>
          <w:numId w:val="19"/>
        </w:numPr>
        <w:jc w:val="both"/>
      </w:pPr>
      <w:r w:rsidRPr="000F168D">
        <w:t xml:space="preserve">bejelentésével a minősített adatok védelmére vonatkozó szabályokat megszegi, </w:t>
      </w:r>
    </w:p>
    <w:p w14:paraId="77C63255" w14:textId="77777777" w:rsidR="00EE7377" w:rsidRPr="000F168D" w:rsidRDefault="00EE7377" w:rsidP="00EE7377">
      <w:pPr>
        <w:pStyle w:val="Listaszerbekezds"/>
        <w:numPr>
          <w:ilvl w:val="0"/>
          <w:numId w:val="19"/>
        </w:numPr>
        <w:jc w:val="both"/>
      </w:pPr>
      <w:r w:rsidRPr="000F168D">
        <w:t xml:space="preserve">a bejelentés megtétele során törvényben meghatározott, az orvosi titokra, az ügyvédi titokra vonatkozó titoktartási kötelezettségének nem tesz eleget, </w:t>
      </w:r>
    </w:p>
    <w:p w14:paraId="0985E48A" w14:textId="77777777" w:rsidR="00EE7377" w:rsidRPr="000F168D" w:rsidRDefault="00EE7377" w:rsidP="00EE7377">
      <w:pPr>
        <w:pStyle w:val="Listaszerbekezds"/>
        <w:numPr>
          <w:ilvl w:val="0"/>
          <w:numId w:val="19"/>
        </w:numPr>
        <w:jc w:val="both"/>
      </w:pPr>
      <w:r w:rsidRPr="000F168D">
        <w:t xml:space="preserve">a bejelentés megtétele során az egyházi személy és a vallási egyesület vallásos szertartást hivatásszerűen végző tagjaként a hivatásánál fogva rá irányadó titoktartási kötelezettségének nem tesz eleget, </w:t>
      </w:r>
    </w:p>
    <w:p w14:paraId="709D324F" w14:textId="77777777" w:rsidR="00EE7377" w:rsidRPr="000F168D" w:rsidRDefault="00EE7377" w:rsidP="00EE7377">
      <w:pPr>
        <w:pStyle w:val="Listaszerbekezds"/>
        <w:numPr>
          <w:ilvl w:val="0"/>
          <w:numId w:val="19"/>
        </w:numPr>
        <w:jc w:val="both"/>
      </w:pPr>
      <w:r w:rsidRPr="000F168D">
        <w:t xml:space="preserve">a bejelentés megtétele során a bírói ítélkezéssel kapcsolatban a törvény által védett titok védelmére vonatkozó szabályokat megszegi, </w:t>
      </w:r>
    </w:p>
    <w:p w14:paraId="599FF908" w14:textId="77777777" w:rsidR="00EE7377" w:rsidRPr="000F168D" w:rsidRDefault="00EE7377" w:rsidP="00EE7377">
      <w:pPr>
        <w:pStyle w:val="Listaszerbekezds"/>
        <w:numPr>
          <w:ilvl w:val="0"/>
          <w:numId w:val="19"/>
        </w:numPr>
        <w:jc w:val="both"/>
      </w:pPr>
      <w:r w:rsidRPr="000F168D">
        <w:t xml:space="preserve">bejelentésével a büntetőeljárási szabályok szerinti adatkezelési szabályokat megszegi, vagy </w:t>
      </w:r>
    </w:p>
    <w:p w14:paraId="69219D51" w14:textId="77777777" w:rsidR="00EE7377" w:rsidRPr="000F168D" w:rsidRDefault="00EE7377" w:rsidP="00EE7377">
      <w:pPr>
        <w:pStyle w:val="Listaszerbekezds"/>
        <w:numPr>
          <w:ilvl w:val="0"/>
          <w:numId w:val="19"/>
        </w:numPr>
        <w:jc w:val="both"/>
      </w:pPr>
      <w:r w:rsidRPr="000F168D">
        <w:t xml:space="preserve">a rendvédelmi szervek, a Katonai Nemzetbiztonsági Szolgálat, illetve a Nemzeti Adó- és Vámhivatal állományának a tagjaként a bejelentésével az e szervek tevékenységére vonatkozó, jogszabályban meghatározott szabályokat megszegi. </w:t>
      </w:r>
    </w:p>
    <w:p w14:paraId="499D1E77" w14:textId="77777777" w:rsidR="00EE7377" w:rsidRPr="000F168D" w:rsidRDefault="00EE7377" w:rsidP="00EE7377">
      <w:pPr>
        <w:jc w:val="both"/>
      </w:pPr>
    </w:p>
    <w:p w14:paraId="71A387EE" w14:textId="287F4B7D" w:rsidR="00256A08" w:rsidRPr="000F168D" w:rsidRDefault="00256A08" w:rsidP="00EE7377">
      <w:pPr>
        <w:jc w:val="both"/>
      </w:pPr>
      <w:r w:rsidRPr="000F168D">
        <w:t>A Panasztörvény csak bizonyos típusú bejelentések esetére biztosítja bejelentők védelmére vonatkozó rendelkezéseket. A védelem így teljes</w:t>
      </w:r>
      <w:r w:rsidR="00ED749F" w:rsidRPr="000F168D">
        <w:t xml:space="preserve"> </w:t>
      </w:r>
      <w:r w:rsidRPr="000F168D">
        <w:t xml:space="preserve">körűen akkor illeti meg a bejelentőt, ha a bejelentéssel érintett körülményekre vonatkozó, bejelentett információ a fent meghatározott </w:t>
      </w:r>
      <w:r w:rsidRPr="000F168D">
        <w:rPr>
          <w:b/>
          <w:bCs/>
        </w:rPr>
        <w:t>európai uniós jogi aktusok</w:t>
      </w:r>
      <w:r w:rsidRPr="000F168D">
        <w:t xml:space="preserve"> vagy azok </w:t>
      </w:r>
      <w:r w:rsidRPr="000F168D">
        <w:rPr>
          <w:b/>
          <w:bCs/>
        </w:rPr>
        <w:t>végrehajtását,</w:t>
      </w:r>
      <w:r w:rsidRPr="000F168D">
        <w:t xml:space="preserve"> az azoknak való </w:t>
      </w:r>
      <w:r w:rsidRPr="000F168D">
        <w:rPr>
          <w:b/>
          <w:bCs/>
        </w:rPr>
        <w:t>megfelelést biztosító jogszabályi rendelkezések</w:t>
      </w:r>
      <w:r w:rsidRPr="000F168D">
        <w:t xml:space="preserve"> hatálya alá tartozik, vagy a bejelentő ennek fennállását alapos okkal feltételezi. </w:t>
      </w:r>
    </w:p>
    <w:p w14:paraId="6D7EC3D0" w14:textId="77777777" w:rsidR="00EE7377" w:rsidRPr="000F168D" w:rsidRDefault="00EE7377" w:rsidP="005F4E1C">
      <w:pPr>
        <w:jc w:val="both"/>
      </w:pPr>
    </w:p>
    <w:p w14:paraId="42BCD066" w14:textId="5C5153C2" w:rsidR="00390132" w:rsidRPr="000F168D" w:rsidRDefault="00390132" w:rsidP="005F4E1C">
      <w:pPr>
        <w:jc w:val="both"/>
      </w:pPr>
      <w:r w:rsidRPr="000F168D">
        <w:t xml:space="preserve">A bejelentő védelmére vonatkozó rendelkezések irányadók </w:t>
      </w:r>
      <w:r w:rsidR="00263CC5" w:rsidRPr="000F168D">
        <w:t xml:space="preserve">a bejelentésre jogosultakon kívül </w:t>
      </w:r>
      <w:r w:rsidRPr="000F168D">
        <w:t>arra a bejelentőre</w:t>
      </w:r>
      <w:r w:rsidR="00263CC5" w:rsidRPr="000F168D">
        <w:t xml:space="preserve"> is</w:t>
      </w:r>
      <w:r w:rsidRPr="000F168D">
        <w:t>, aki személyazonosságának felfedése nélkül – így különösen neve, azonosításához szükséges személyes adatai megadása nélkül – tesz jogszerű bejelentést és későbbi azonosítását követően vele szemben a hátrányos intézkedést tesznek meg</w:t>
      </w:r>
      <w:r w:rsidR="00ED749F" w:rsidRPr="000F168D">
        <w:t>.</w:t>
      </w:r>
    </w:p>
    <w:p w14:paraId="16ADD9EF" w14:textId="77777777" w:rsidR="00263CC5" w:rsidRPr="000F168D" w:rsidRDefault="00263CC5" w:rsidP="005F4E1C">
      <w:pPr>
        <w:jc w:val="both"/>
      </w:pPr>
    </w:p>
    <w:p w14:paraId="6093A5B4" w14:textId="66A658E9" w:rsidR="00390132" w:rsidRPr="000F168D" w:rsidRDefault="00390132" w:rsidP="005F4E1C">
      <w:pPr>
        <w:jc w:val="both"/>
        <w:rPr>
          <w:b/>
          <w:bCs/>
        </w:rPr>
      </w:pPr>
      <w:r w:rsidRPr="000F168D">
        <w:rPr>
          <w:b/>
          <w:bCs/>
        </w:rPr>
        <w:t xml:space="preserve">A bejelentőre vonatkozó védelemben részesül, aki </w:t>
      </w:r>
    </w:p>
    <w:p w14:paraId="1B48E3A1" w14:textId="77777777" w:rsidR="00390132" w:rsidRPr="000F168D" w:rsidRDefault="00390132" w:rsidP="005F4E1C">
      <w:pPr>
        <w:jc w:val="both"/>
      </w:pPr>
      <w:r w:rsidRPr="000F168D">
        <w:t xml:space="preserve">a) a jogszerű bejelentést tevő bejelentő részére segítséget nyújt a bejelentés megtétele során, </w:t>
      </w:r>
    </w:p>
    <w:p w14:paraId="565146EB" w14:textId="32EB5123" w:rsidR="00390132" w:rsidRPr="000F168D" w:rsidRDefault="00390132" w:rsidP="005F4E1C">
      <w:pPr>
        <w:jc w:val="both"/>
      </w:pPr>
      <w:r w:rsidRPr="000F168D">
        <w:t xml:space="preserve">b) a jogszerű bejelentést tevő bejelentővel kapcsolatban álló olyan személy – így különösen a bejelentő munkatársa vagy családtagja –, akit hátrányos intézkedés érhet. </w:t>
      </w:r>
    </w:p>
    <w:p w14:paraId="43C8F066" w14:textId="77777777" w:rsidR="00125DF0" w:rsidRPr="000F168D" w:rsidRDefault="00125DF0" w:rsidP="00254CCE">
      <w:pPr>
        <w:jc w:val="both"/>
        <w:outlineLvl w:val="1"/>
        <w:rPr>
          <w:b/>
        </w:rPr>
      </w:pPr>
    </w:p>
    <w:p w14:paraId="20543DB5" w14:textId="661A85AB" w:rsidR="00254CCE" w:rsidRPr="000F168D" w:rsidRDefault="00254CCE" w:rsidP="00254CCE">
      <w:pPr>
        <w:jc w:val="both"/>
        <w:outlineLvl w:val="1"/>
        <w:rPr>
          <w:b/>
        </w:rPr>
      </w:pPr>
      <w:bookmarkStart w:id="48" w:name="_Toc138772523"/>
      <w:r w:rsidRPr="000F168D">
        <w:rPr>
          <w:b/>
        </w:rPr>
        <w:t>A visszaélés bejelentőket az alábbi bejelentővédelmi intézkedések védik:</w:t>
      </w:r>
      <w:bookmarkEnd w:id="48"/>
    </w:p>
    <w:p w14:paraId="6A85BC01" w14:textId="77777777" w:rsidR="006804FD" w:rsidRPr="000F168D" w:rsidRDefault="006804FD" w:rsidP="006804FD">
      <w:pPr>
        <w:jc w:val="both"/>
        <w:outlineLvl w:val="1"/>
        <w:rPr>
          <w:b/>
        </w:rPr>
      </w:pPr>
    </w:p>
    <w:p w14:paraId="14C81886" w14:textId="63E5FA8D" w:rsidR="00B8496A" w:rsidRPr="000F168D" w:rsidRDefault="00B8496A" w:rsidP="006E22FF">
      <w:pPr>
        <w:numPr>
          <w:ilvl w:val="2"/>
          <w:numId w:val="2"/>
        </w:numPr>
        <w:ind w:left="1134" w:hanging="567"/>
        <w:jc w:val="both"/>
        <w:outlineLvl w:val="2"/>
        <w:rPr>
          <w:b/>
          <w:bCs/>
        </w:rPr>
      </w:pPr>
      <w:bookmarkStart w:id="49" w:name="_Toc138772524"/>
      <w:r w:rsidRPr="000F168D">
        <w:rPr>
          <w:b/>
        </w:rPr>
        <w:t>Megtorlás tilalma</w:t>
      </w:r>
      <w:bookmarkEnd w:id="49"/>
    </w:p>
    <w:p w14:paraId="4B625906" w14:textId="70AA9C4A" w:rsidR="00263CC5" w:rsidRPr="000F168D" w:rsidRDefault="00263CC5" w:rsidP="005F4E1C">
      <w:pPr>
        <w:jc w:val="both"/>
      </w:pPr>
    </w:p>
    <w:p w14:paraId="5255B79A" w14:textId="77777777" w:rsidR="00D90828" w:rsidRPr="000F168D" w:rsidRDefault="00D90828" w:rsidP="00D90828">
      <w:pPr>
        <w:jc w:val="both"/>
      </w:pPr>
      <w:r w:rsidRPr="000F168D">
        <w:t>Minden, a bejelentő számára hátrányos intézkedés,</w:t>
      </w:r>
    </w:p>
    <w:p w14:paraId="3D71724D" w14:textId="77777777" w:rsidR="00D90828" w:rsidRPr="000F168D" w:rsidRDefault="00D90828" w:rsidP="00D90828">
      <w:pPr>
        <w:jc w:val="both"/>
      </w:pPr>
      <w:r w:rsidRPr="000F168D">
        <w:t>a) amelyre a bejelentés jogszerű megtétele miatt kerül sor és</w:t>
      </w:r>
    </w:p>
    <w:p w14:paraId="443AC844" w14:textId="6E23D49C" w:rsidR="00D90828" w:rsidRPr="000F168D" w:rsidRDefault="00D90828" w:rsidP="00D90828">
      <w:pPr>
        <w:jc w:val="both"/>
      </w:pPr>
      <w:r w:rsidRPr="000F168D">
        <w:t>b) amelyet az 5.</w:t>
      </w:r>
      <w:r w:rsidR="00D14197" w:rsidRPr="000F168D">
        <w:t>I.</w:t>
      </w:r>
      <w:r w:rsidRPr="000F168D">
        <w:t>ii) pontban meghatározott jogviszonnyal vagy kapcsolattal összefüggésben valósítanak meg, jogellenesnek minősül akkor is, ha egyébként jogszerű lenne.</w:t>
      </w:r>
    </w:p>
    <w:p w14:paraId="5C3AAEEE" w14:textId="77777777" w:rsidR="00D90828" w:rsidRPr="000F168D" w:rsidRDefault="00D90828" w:rsidP="005F4E1C">
      <w:pPr>
        <w:jc w:val="both"/>
      </w:pPr>
    </w:p>
    <w:p w14:paraId="2BDB2511" w14:textId="77777777" w:rsidR="00263CC5" w:rsidRPr="000F168D" w:rsidRDefault="00254CCE" w:rsidP="005F4E1C">
      <w:pPr>
        <w:jc w:val="both"/>
      </w:pPr>
      <w:r w:rsidRPr="000F168D">
        <w:rPr>
          <w:b/>
          <w:bCs/>
        </w:rPr>
        <w:t>H</w:t>
      </w:r>
      <w:r w:rsidR="006804FD" w:rsidRPr="000F168D">
        <w:rPr>
          <w:b/>
          <w:bCs/>
        </w:rPr>
        <w:t>átrányos intézkedésnek minősül a bejelentő számára hátrányos cselekmény vagy</w:t>
      </w:r>
      <w:r w:rsidRPr="000F168D">
        <w:rPr>
          <w:b/>
          <w:bCs/>
        </w:rPr>
        <w:t xml:space="preserve"> </w:t>
      </w:r>
      <w:r w:rsidR="006804FD" w:rsidRPr="000F168D">
        <w:rPr>
          <w:b/>
          <w:bCs/>
        </w:rPr>
        <w:t>mulasztás, különösen</w:t>
      </w:r>
      <w:r w:rsidR="006804FD" w:rsidRPr="000F168D">
        <w:br/>
      </w:r>
      <w:r w:rsidR="006804FD" w:rsidRPr="000F168D">
        <w:lastRenderedPageBreak/>
        <w:t>a) a felfüggesztés, a csoportos létszámcsökkentés, a felmondás vagy ezekkel egyenértékű intézkedések,</w:t>
      </w:r>
      <w:r w:rsidR="006804FD" w:rsidRPr="000F168D">
        <w:br/>
        <w:t>b) a lefokozás vagy az előléptetés megtagadása,</w:t>
      </w:r>
    </w:p>
    <w:p w14:paraId="0B5E9AD2" w14:textId="77777777" w:rsidR="00263CC5" w:rsidRPr="000F168D" w:rsidRDefault="006804FD" w:rsidP="005F4E1C">
      <w:pPr>
        <w:jc w:val="both"/>
      </w:pPr>
      <w:r w:rsidRPr="000F168D">
        <w:t>c) a munkaköri feladatok átruházása, a munkavégzés helyének megváltoztatása, a bércsökkentés, a munkaidő</w:t>
      </w:r>
      <w:r w:rsidR="00284E98" w:rsidRPr="000F168D">
        <w:t xml:space="preserve"> </w:t>
      </w:r>
      <w:r w:rsidRPr="000F168D">
        <w:t>megváltoztatása,</w:t>
      </w:r>
    </w:p>
    <w:p w14:paraId="6188122A" w14:textId="1129CB08" w:rsidR="00263CC5" w:rsidRPr="000F168D" w:rsidRDefault="006804FD" w:rsidP="005F4E1C">
      <w:pPr>
        <w:jc w:val="both"/>
      </w:pPr>
      <w:r w:rsidRPr="000F168D">
        <w:t>d) a képzés megtagadása</w:t>
      </w:r>
    </w:p>
    <w:p w14:paraId="34936E3D" w14:textId="77777777" w:rsidR="00263CC5" w:rsidRPr="000F168D" w:rsidRDefault="006804FD" w:rsidP="005F4E1C">
      <w:pPr>
        <w:jc w:val="both"/>
      </w:pPr>
      <w:r w:rsidRPr="000F168D">
        <w:t>e) a negatív teljesítményértékelés vagy munkareferencia,</w:t>
      </w:r>
    </w:p>
    <w:p w14:paraId="4FB82EEC" w14:textId="77777777" w:rsidR="00263CC5" w:rsidRPr="000F168D" w:rsidRDefault="006804FD" w:rsidP="005F4E1C">
      <w:pPr>
        <w:jc w:val="both"/>
      </w:pPr>
      <w:r w:rsidRPr="000F168D">
        <w:t>f) a foglalkoztatásra irányuló jogviszonyára vonatkozó törvény szerinti bármely hátrányos jogkövetkezmény</w:t>
      </w:r>
      <w:r w:rsidR="00284E98" w:rsidRPr="000F168D">
        <w:t xml:space="preserve"> </w:t>
      </w:r>
      <w:r w:rsidRPr="000F168D">
        <w:t>– így különösen fegyelmi intézkedés, megrovás, pénzügyi szankció – alkalmazása</w:t>
      </w:r>
      <w:r w:rsidR="00263CC5" w:rsidRPr="000F168D">
        <w:t xml:space="preserve"> </w:t>
      </w:r>
    </w:p>
    <w:p w14:paraId="091ABE4A" w14:textId="77777777" w:rsidR="00263CC5" w:rsidRPr="000F168D" w:rsidRDefault="006804FD" w:rsidP="005F4E1C">
      <w:pPr>
        <w:jc w:val="both"/>
      </w:pPr>
      <w:r w:rsidRPr="000F168D">
        <w:t>g) a kényszerítés, a megfélemlítés, a zaklatás vagy a kiközösítés,</w:t>
      </w:r>
      <w:r w:rsidRPr="000F168D">
        <w:br/>
        <w:t>h) a hátrányos megkülönböztetés, hátrányos vagy tisztességtelen bánásmód,</w:t>
      </w:r>
    </w:p>
    <w:p w14:paraId="242DA67F" w14:textId="2E8E60B3" w:rsidR="00263CC5" w:rsidRPr="000F168D" w:rsidRDefault="006804FD" w:rsidP="005F4E1C">
      <w:pPr>
        <w:jc w:val="both"/>
      </w:pPr>
      <w:r w:rsidRPr="000F168D">
        <w:t>i) a határozott idejű foglalkoztatásra irányuló jogviszony határozatlan idejűvé átalakításának</w:t>
      </w:r>
      <w:r w:rsidR="00284E98" w:rsidRPr="000F168D">
        <w:t xml:space="preserve"> </w:t>
      </w:r>
      <w:r w:rsidRPr="000F168D">
        <w:t>elmulasztása,</w:t>
      </w:r>
      <w:r w:rsidR="00284E98" w:rsidRPr="000F168D">
        <w:t xml:space="preserve"> </w:t>
      </w:r>
      <w:r w:rsidRPr="000F168D">
        <w:t>ha a foglalkoztatott jogszerű elvárása az volt, hogy foglalkoztatásra irányuló jogviszonyát határozatlan</w:t>
      </w:r>
      <w:r w:rsidR="00284E98" w:rsidRPr="000F168D">
        <w:t xml:space="preserve"> </w:t>
      </w:r>
      <w:r w:rsidRPr="000F168D">
        <w:t>idejűvé változtatják</w:t>
      </w:r>
      <w:r w:rsidR="00263CC5" w:rsidRPr="000F168D">
        <w:t>,</w:t>
      </w:r>
    </w:p>
    <w:p w14:paraId="26CEB210" w14:textId="77777777" w:rsidR="00263CC5" w:rsidRPr="000F168D" w:rsidRDefault="006804FD" w:rsidP="005F4E1C">
      <w:pPr>
        <w:jc w:val="both"/>
      </w:pPr>
      <w:r w:rsidRPr="000F168D">
        <w:t>j) egy határozott idejű munkaszerződés megújításának elmulasztása vagy annak idő előtti megszüntetése,</w:t>
      </w:r>
    </w:p>
    <w:p w14:paraId="11700C58" w14:textId="77777777" w:rsidR="00263CC5" w:rsidRPr="000F168D" w:rsidRDefault="006804FD" w:rsidP="005F4E1C">
      <w:pPr>
        <w:jc w:val="both"/>
      </w:pPr>
      <w:r w:rsidRPr="000F168D">
        <w:t>k) a károkozás, amely magában foglalja a személy jóhírnevének megsértését vagy a pénzügyi veszteséget,</w:t>
      </w:r>
      <w:r w:rsidR="00284E98" w:rsidRPr="000F168D">
        <w:t xml:space="preserve"> </w:t>
      </w:r>
      <w:r w:rsidRPr="000F168D">
        <w:t>beleértve az üzleti lehetőség elvesztését és a bevételkiesést is,</w:t>
      </w:r>
    </w:p>
    <w:p w14:paraId="2BA1EC58" w14:textId="77777777" w:rsidR="00263CC5" w:rsidRPr="000F168D" w:rsidRDefault="006804FD" w:rsidP="005F4E1C">
      <w:pPr>
        <w:jc w:val="both"/>
      </w:pPr>
      <w:r w:rsidRPr="000F168D">
        <w:t>l) az olyan intézkedés, amelynek eredményeképpen okkal következik, hogy az adott személy a jövőben</w:t>
      </w:r>
      <w:r w:rsidR="00284E98" w:rsidRPr="000F168D">
        <w:t xml:space="preserve"> </w:t>
      </w:r>
      <w:r w:rsidRPr="000F168D">
        <w:t>foglalkoztatásra irányuló jogviszonyt a foglalkoztatásra irányuló jogviszonya szerinti ágazatban nem</w:t>
      </w:r>
      <w:r w:rsidR="00284E98" w:rsidRPr="000F168D">
        <w:t xml:space="preserve"> </w:t>
      </w:r>
      <w:r w:rsidRPr="000F168D">
        <w:t>létesíthet,</w:t>
      </w:r>
    </w:p>
    <w:p w14:paraId="2E339777" w14:textId="77777777" w:rsidR="00263CC5" w:rsidRPr="000F168D" w:rsidRDefault="006804FD" w:rsidP="005F4E1C">
      <w:pPr>
        <w:jc w:val="both"/>
      </w:pPr>
      <w:r w:rsidRPr="000F168D">
        <w:t>m) az egészségügyi alkalmassággal összefüggő vizsgálat előírása,</w:t>
      </w:r>
    </w:p>
    <w:p w14:paraId="066E45C5" w14:textId="77777777" w:rsidR="00263CC5" w:rsidRPr="000F168D" w:rsidRDefault="006804FD" w:rsidP="005F4E1C">
      <w:pPr>
        <w:jc w:val="both"/>
      </w:pPr>
      <w:r w:rsidRPr="000F168D">
        <w:t>n) az áru- vagy szolgáltatási szerződés idő előtti megszüntetése vagy felmondása, és</w:t>
      </w:r>
    </w:p>
    <w:p w14:paraId="4849BBAE" w14:textId="0C4677CA" w:rsidR="00284E98" w:rsidRPr="000F168D" w:rsidRDefault="006804FD" w:rsidP="005F4E1C">
      <w:pPr>
        <w:jc w:val="both"/>
      </w:pPr>
      <w:r w:rsidRPr="000F168D">
        <w:t>o) az engedély visszavonása.</w:t>
      </w:r>
    </w:p>
    <w:p w14:paraId="2F858C7A" w14:textId="77777777" w:rsidR="00263CC5" w:rsidRPr="000F168D" w:rsidRDefault="00263CC5" w:rsidP="005F4E1C">
      <w:pPr>
        <w:jc w:val="both"/>
      </w:pPr>
    </w:p>
    <w:p w14:paraId="70D33A7F" w14:textId="77777777" w:rsidR="00263CC5" w:rsidRPr="000F168D" w:rsidRDefault="00254CCE" w:rsidP="005F4E1C">
      <w:pPr>
        <w:jc w:val="both"/>
        <w:rPr>
          <w:b/>
          <w:bCs/>
        </w:rPr>
      </w:pPr>
      <w:r w:rsidRPr="000F168D">
        <w:rPr>
          <w:b/>
          <w:bCs/>
        </w:rPr>
        <w:t xml:space="preserve">A fenti </w:t>
      </w:r>
      <w:r w:rsidR="006804FD" w:rsidRPr="000F168D">
        <w:rPr>
          <w:b/>
          <w:bCs/>
        </w:rPr>
        <w:t>hátrányos intézkedéssel összefüggő hatósági vagy bírósági eljárás során – ha a bejelentő</w:t>
      </w:r>
      <w:r w:rsidR="00284E98" w:rsidRPr="000F168D">
        <w:rPr>
          <w:b/>
          <w:bCs/>
        </w:rPr>
        <w:t xml:space="preserve"> </w:t>
      </w:r>
      <w:r w:rsidR="006804FD" w:rsidRPr="000F168D">
        <w:rPr>
          <w:b/>
          <w:bCs/>
        </w:rPr>
        <w:t xml:space="preserve">a bejelentés megtétele jogszerűségét bizonyítja </w:t>
      </w:r>
    </w:p>
    <w:p w14:paraId="00643DB9" w14:textId="77777777" w:rsidR="00263CC5" w:rsidRPr="000F168D" w:rsidRDefault="006804FD" w:rsidP="005F4E1C">
      <w:pPr>
        <w:jc w:val="both"/>
      </w:pPr>
      <w:r w:rsidRPr="000F168D">
        <w:t>a) vélelmezni kell, hogy a hátrányos intézkedésre a bejelentés jogszerű megtétele miatt került sor, és</w:t>
      </w:r>
    </w:p>
    <w:p w14:paraId="6C052FDD" w14:textId="7277FE50" w:rsidR="00254CCE" w:rsidRPr="000F168D" w:rsidRDefault="006804FD" w:rsidP="005F4E1C">
      <w:pPr>
        <w:jc w:val="both"/>
      </w:pPr>
      <w:r w:rsidRPr="000F168D">
        <w:t>b) a hátrányos intézkedést hozó személyt terheli annak bizonyítása, hogy a hátrányos intézkedés megtételére</w:t>
      </w:r>
      <w:r w:rsidR="00254CCE" w:rsidRPr="000F168D">
        <w:t xml:space="preserve"> </w:t>
      </w:r>
      <w:r w:rsidRPr="000F168D">
        <w:t>alapos indokkal és nem a bejelentés jogszerű megtétele miatt került sor.</w:t>
      </w:r>
    </w:p>
    <w:p w14:paraId="4D9AD53A" w14:textId="77777777" w:rsidR="00263CC5" w:rsidRPr="000F168D" w:rsidRDefault="00263CC5" w:rsidP="005F4E1C">
      <w:pPr>
        <w:jc w:val="both"/>
      </w:pPr>
    </w:p>
    <w:p w14:paraId="4F3F3BB6" w14:textId="20A0A306" w:rsidR="00254CCE" w:rsidRPr="000F168D" w:rsidRDefault="006804FD" w:rsidP="005F4E1C">
      <w:pPr>
        <w:jc w:val="both"/>
      </w:pPr>
      <w:r w:rsidRPr="000F168D">
        <w:t>Minden, a bejelentő tulajdonában álló jogalany vagy a bejelentővel foglalkoztatásra irányuló jogviszonyban vagy</w:t>
      </w:r>
      <w:r w:rsidR="00284E98" w:rsidRPr="000F168D">
        <w:t xml:space="preserve"> </w:t>
      </w:r>
      <w:r w:rsidRPr="000F168D">
        <w:t>más, szerződéses jogviszonyban álló jogalany sérelmére hozott hátrányos intézkedés, amelyre</w:t>
      </w:r>
      <w:r w:rsidR="00284E98" w:rsidRPr="000F168D">
        <w:t xml:space="preserve"> </w:t>
      </w:r>
      <w:r w:rsidRPr="000F168D">
        <w:t>a bejelentés jogszerű megtétele miatt kerül sor, jogellenesnek minősül akkor is, ha egyébként jogszerű lenne.</w:t>
      </w:r>
      <w:r w:rsidR="002644D0" w:rsidRPr="000F168D">
        <w:t xml:space="preserve"> </w:t>
      </w:r>
      <w:r w:rsidR="00E0402F" w:rsidRPr="000F168D">
        <w:t xml:space="preserve">Ebben az esetben a </w:t>
      </w:r>
      <w:r w:rsidRPr="000F168D">
        <w:t>hátrányos intézkedéssel összefüggő hatósági vagy bírósági eljárás során – ha a jogalany</w:t>
      </w:r>
      <w:r w:rsidR="00284E98" w:rsidRPr="000F168D">
        <w:t xml:space="preserve"> </w:t>
      </w:r>
      <w:r w:rsidRPr="000F168D">
        <w:t>a bejelentővel fennálló</w:t>
      </w:r>
      <w:r w:rsidR="00E0402F" w:rsidRPr="000F168D">
        <w:t xml:space="preserve"> </w:t>
      </w:r>
      <w:r w:rsidRPr="000F168D">
        <w:t>kapcsolatát, valamint a bejelentő a bejelentés megtétele jogszerűségét</w:t>
      </w:r>
      <w:r w:rsidR="00284E98" w:rsidRPr="000F168D">
        <w:t xml:space="preserve"> </w:t>
      </w:r>
      <w:r w:rsidRPr="000F168D">
        <w:t xml:space="preserve">bizonyítja – </w:t>
      </w:r>
      <w:r w:rsidR="00E0402F" w:rsidRPr="000F168D">
        <w:t xml:space="preserve">akkor az előző bekezdés rendelkezései alkalmazandók. </w:t>
      </w:r>
    </w:p>
    <w:p w14:paraId="175C024C" w14:textId="77777777" w:rsidR="00AC3EB1" w:rsidRPr="000F168D" w:rsidRDefault="00AC3EB1" w:rsidP="005F4E1C">
      <w:pPr>
        <w:jc w:val="both"/>
      </w:pPr>
    </w:p>
    <w:p w14:paraId="19F59529" w14:textId="7C318129" w:rsidR="00AC3EB1" w:rsidRPr="000F168D" w:rsidRDefault="00AC3EB1" w:rsidP="006E22FF">
      <w:pPr>
        <w:numPr>
          <w:ilvl w:val="2"/>
          <w:numId w:val="2"/>
        </w:numPr>
        <w:ind w:left="1134" w:hanging="567"/>
        <w:jc w:val="both"/>
        <w:outlineLvl w:val="2"/>
        <w:rPr>
          <w:b/>
          <w:bCs/>
        </w:rPr>
      </w:pPr>
      <w:bookmarkStart w:id="50" w:name="_Toc138772525"/>
      <w:r w:rsidRPr="000F168D">
        <w:rPr>
          <w:b/>
        </w:rPr>
        <w:t>Titoktartási kötelezettség alóli mentesülés</w:t>
      </w:r>
      <w:bookmarkEnd w:id="50"/>
    </w:p>
    <w:p w14:paraId="1B436740" w14:textId="77777777" w:rsidR="00AC3EB1" w:rsidRPr="000F168D" w:rsidRDefault="00AC3EB1" w:rsidP="00D618CB"/>
    <w:p w14:paraId="1F69A615" w14:textId="77777777" w:rsidR="00AC3EB1" w:rsidRPr="000F168D" w:rsidRDefault="006804FD" w:rsidP="005F4E1C">
      <w:pPr>
        <w:jc w:val="both"/>
      </w:pPr>
      <w:r w:rsidRPr="000F168D">
        <w:t>A bejelentés jogszerű megtétele esetén a bejelentő nem tekinthető a törvény által védett titok nyilvánosságra</w:t>
      </w:r>
      <w:r w:rsidR="00284E98" w:rsidRPr="000F168D">
        <w:t xml:space="preserve"> </w:t>
      </w:r>
      <w:r w:rsidR="00AC3EB1" w:rsidRPr="000F168D">
        <w:t xml:space="preserve">hozatalával </w:t>
      </w:r>
      <w:r w:rsidRPr="000F168D">
        <w:t>összefüggő korlátozást vagy más, az információfelfedésre vonatkozó jogszabályi korlátozást</w:t>
      </w:r>
      <w:r w:rsidR="00284E98" w:rsidRPr="000F168D">
        <w:t xml:space="preserve"> </w:t>
      </w:r>
      <w:r w:rsidRPr="000F168D">
        <w:t>megszegőnek, és az ilyen bejelentés tekintetében nem terheli felelősség, ha a bejelentő alapos okkal feltételezte</w:t>
      </w:r>
      <w:r w:rsidR="00284E98" w:rsidRPr="000F168D">
        <w:t xml:space="preserve"> </w:t>
      </w:r>
      <w:r w:rsidRPr="000F168D">
        <w:t>azt, hogy a bejelentés szükséges volt a bejelentéssel érintett körülmények feltárásához.</w:t>
      </w:r>
      <w:r w:rsidR="00AC3EB1" w:rsidRPr="000F168D">
        <w:t xml:space="preserve"> </w:t>
      </w:r>
    </w:p>
    <w:p w14:paraId="51BD181D" w14:textId="77777777" w:rsidR="00AC3EB1" w:rsidRPr="000F168D" w:rsidRDefault="00AC3EB1" w:rsidP="005F4E1C">
      <w:pPr>
        <w:jc w:val="both"/>
      </w:pPr>
    </w:p>
    <w:p w14:paraId="1F4BA1FD" w14:textId="33154321" w:rsidR="00254CCE" w:rsidRPr="000F168D" w:rsidRDefault="006804FD" w:rsidP="005F4E1C">
      <w:pPr>
        <w:jc w:val="both"/>
      </w:pPr>
      <w:r w:rsidRPr="000F168D">
        <w:lastRenderedPageBreak/>
        <w:t>A bejelentés jogszerű megtétele esetén a bejelentőt nem terheli felelősség a bejelentésben szereplő információk</w:t>
      </w:r>
      <w:r w:rsidR="00284E98" w:rsidRPr="000F168D">
        <w:t xml:space="preserve"> </w:t>
      </w:r>
      <w:r w:rsidRPr="000F168D">
        <w:t>megszerzése vagy az azokhoz való hozzáférés tekintetében, kivéve, ha a bejelentő az információk megszerzésével</w:t>
      </w:r>
      <w:r w:rsidR="00284E98" w:rsidRPr="000F168D">
        <w:t xml:space="preserve"> </w:t>
      </w:r>
      <w:r w:rsidRPr="000F168D">
        <w:t>vagy az azokhoz való hozzáféréssel bűncselekményt követett el.</w:t>
      </w:r>
    </w:p>
    <w:p w14:paraId="0A7196C2" w14:textId="77777777" w:rsidR="00AC3EB1" w:rsidRPr="000F168D" w:rsidRDefault="006804FD" w:rsidP="005F4E1C">
      <w:pPr>
        <w:jc w:val="both"/>
      </w:pPr>
      <w:r w:rsidRPr="000F168D">
        <w:br/>
        <w:t>A bejelentő a bejelentés jogszerű megtételéért nem vonható felelősségre, ha a bejelentő alapos okkal feltételezte</w:t>
      </w:r>
      <w:r w:rsidR="00284E98" w:rsidRPr="000F168D">
        <w:t xml:space="preserve"> </w:t>
      </w:r>
      <w:r w:rsidRPr="000F168D">
        <w:t>azt, hogy a bejelentés szükséges volt a bejelentéssel érintett körülmények feltárásához.</w:t>
      </w:r>
    </w:p>
    <w:p w14:paraId="352AEC17" w14:textId="2D6E69F5" w:rsidR="00AC3EB1" w:rsidRPr="000F168D" w:rsidRDefault="006804FD" w:rsidP="005F4E1C">
      <w:pPr>
        <w:jc w:val="both"/>
      </w:pPr>
      <w:r w:rsidRPr="000F168D">
        <w:br/>
        <w:t>A bejelentő a</w:t>
      </w:r>
      <w:r w:rsidR="00AC3EB1" w:rsidRPr="000F168D">
        <w:t xml:space="preserve"> </w:t>
      </w:r>
      <w:r w:rsidR="00D04FBC" w:rsidRPr="000F168D">
        <w:t xml:space="preserve">jelen pontban leírt </w:t>
      </w:r>
      <w:r w:rsidR="00AC3EB1" w:rsidRPr="000F168D">
        <w:t>ment</w:t>
      </w:r>
      <w:r w:rsidR="00D04FBC" w:rsidRPr="000F168D">
        <w:t>es</w:t>
      </w:r>
      <w:r w:rsidR="00AC3EB1" w:rsidRPr="000F168D">
        <w:t xml:space="preserve">ülésre </w:t>
      </w:r>
      <w:r w:rsidRPr="000F168D">
        <w:t>valamennyi hatósági vagy bírósági eljárás során – a bejelentés megtétele</w:t>
      </w:r>
      <w:r w:rsidR="00284E98" w:rsidRPr="000F168D">
        <w:t xml:space="preserve"> </w:t>
      </w:r>
      <w:r w:rsidRPr="000F168D">
        <w:t>jogszerűségének bizonyítása mellett – hivatkozhat.</w:t>
      </w:r>
    </w:p>
    <w:p w14:paraId="1DBC95DC" w14:textId="77777777" w:rsidR="00472AEC" w:rsidRPr="000F168D" w:rsidRDefault="00472AEC" w:rsidP="005F4E1C">
      <w:pPr>
        <w:jc w:val="both"/>
      </w:pPr>
    </w:p>
    <w:p w14:paraId="7E0184F8" w14:textId="77777777" w:rsidR="00472AEC" w:rsidRPr="000F168D" w:rsidRDefault="00472AEC" w:rsidP="005F4E1C">
      <w:pPr>
        <w:jc w:val="both"/>
        <w:rPr>
          <w:b/>
          <w:bCs/>
        </w:rPr>
      </w:pPr>
    </w:p>
    <w:p w14:paraId="5BE9F259" w14:textId="77777777" w:rsidR="00AC3EB1" w:rsidRPr="000F168D" w:rsidRDefault="00AC3EB1" w:rsidP="00D618CB">
      <w:pPr>
        <w:rPr>
          <w:b/>
          <w:bCs/>
        </w:rPr>
      </w:pPr>
    </w:p>
    <w:p w14:paraId="1DA23C5F" w14:textId="07BBC2A9" w:rsidR="00AC3EB1" w:rsidRPr="000F168D" w:rsidRDefault="00AC3EB1" w:rsidP="006E22FF">
      <w:pPr>
        <w:numPr>
          <w:ilvl w:val="2"/>
          <w:numId w:val="2"/>
        </w:numPr>
        <w:ind w:left="1134" w:hanging="567"/>
        <w:jc w:val="both"/>
        <w:outlineLvl w:val="2"/>
        <w:rPr>
          <w:b/>
        </w:rPr>
      </w:pPr>
      <w:bookmarkStart w:id="51" w:name="_Toc138772526"/>
      <w:r w:rsidRPr="000F168D">
        <w:rPr>
          <w:b/>
        </w:rPr>
        <w:t>Jogi segítségnyújtást biztosító szervek által biztosított támogatás</w:t>
      </w:r>
      <w:bookmarkEnd w:id="51"/>
    </w:p>
    <w:p w14:paraId="41E64D4C" w14:textId="77777777" w:rsidR="00AC3EB1" w:rsidRPr="000F168D" w:rsidRDefault="00AC3EB1" w:rsidP="00D618CB">
      <w:pPr>
        <w:rPr>
          <w:b/>
          <w:bCs/>
        </w:rPr>
      </w:pPr>
    </w:p>
    <w:p w14:paraId="4EB58B48" w14:textId="37071F74" w:rsidR="00263CC5" w:rsidRPr="000F168D" w:rsidRDefault="006804FD" w:rsidP="005F4E1C">
      <w:pPr>
        <w:jc w:val="both"/>
      </w:pPr>
      <w:r w:rsidRPr="000F168D">
        <w:t>Az állam a bejelentő részére a jogi segítségnyújtásról szóló 2003. évi LXXX. törvényben meghatározott</w:t>
      </w:r>
      <w:r w:rsidR="00284E98" w:rsidRPr="000F168D">
        <w:t xml:space="preserve"> </w:t>
      </w:r>
      <w:r w:rsidRPr="000F168D">
        <w:t>támogatásokat biztosítja az ott meghatározott feltételek szerint</w:t>
      </w:r>
      <w:r w:rsidR="00AC3EB1" w:rsidRPr="000F168D">
        <w:t xml:space="preserve"> </w:t>
      </w:r>
      <w:r w:rsidRPr="000F168D">
        <w:t>a bejelentő számára</w:t>
      </w:r>
      <w:r w:rsidR="007722FB" w:rsidRPr="000F168D">
        <w:t xml:space="preserve"> (https://njt.hu/jogszabaly/2003-80-00-00, https://igazsagugyiinformaciok.kormany.hu/jogi-segitsegnyujtas)</w:t>
      </w:r>
      <w:r w:rsidR="00AC3EB1" w:rsidRPr="000F168D">
        <w:t xml:space="preserve">. </w:t>
      </w:r>
      <w:r w:rsidRPr="000F168D">
        <w:t xml:space="preserve"> </w:t>
      </w:r>
      <w:r w:rsidR="00AC3EB1" w:rsidRPr="000F168D">
        <w:t xml:space="preserve">Köteles </w:t>
      </w:r>
      <w:r w:rsidRPr="000F168D">
        <w:t>tájékoztatást és tanácsadást nyújtani</w:t>
      </w:r>
      <w:r w:rsidR="00284E98" w:rsidRPr="000F168D">
        <w:t xml:space="preserve"> </w:t>
      </w:r>
      <w:r w:rsidRPr="000F168D">
        <w:t>a bejelentők rendelkezésére álló eljárásokról és jogorvoslati lehetőségekről, a bejelentők védelmével összefüggő,</w:t>
      </w:r>
      <w:r w:rsidR="00284E98" w:rsidRPr="000F168D">
        <w:t xml:space="preserve"> </w:t>
      </w:r>
      <w:r w:rsidR="00AA1808" w:rsidRPr="000F168D">
        <w:t>a Panasz</w:t>
      </w:r>
      <w:r w:rsidRPr="000F168D">
        <w:t xml:space="preserve">törvény szerinti szabályokról, a bejelentők </w:t>
      </w:r>
      <w:r w:rsidR="00AA1808" w:rsidRPr="000F168D">
        <w:t>Panasz</w:t>
      </w:r>
      <w:r w:rsidRPr="000F168D">
        <w:t>törvény szerinti jogairól és kötelezettségeiről.</w:t>
      </w:r>
    </w:p>
    <w:p w14:paraId="4E7A3CC0" w14:textId="77777777" w:rsidR="0094364B" w:rsidRPr="000F168D" w:rsidRDefault="0094364B" w:rsidP="005F4E1C">
      <w:pPr>
        <w:jc w:val="both"/>
      </w:pPr>
    </w:p>
    <w:p w14:paraId="1CF55959" w14:textId="34A5383B" w:rsidR="00AC3EB1" w:rsidRPr="000F168D" w:rsidRDefault="00AC3EB1" w:rsidP="006E22FF">
      <w:pPr>
        <w:numPr>
          <w:ilvl w:val="2"/>
          <w:numId w:val="2"/>
        </w:numPr>
        <w:ind w:left="1134" w:hanging="567"/>
        <w:jc w:val="both"/>
        <w:outlineLvl w:val="2"/>
        <w:rPr>
          <w:b/>
        </w:rPr>
      </w:pPr>
      <w:bookmarkStart w:id="52" w:name="_Toc138772527"/>
      <w:r w:rsidRPr="000F168D">
        <w:rPr>
          <w:b/>
        </w:rPr>
        <w:t>Jogról való lemondás tilalma</w:t>
      </w:r>
      <w:bookmarkEnd w:id="52"/>
    </w:p>
    <w:p w14:paraId="168E658A" w14:textId="77777777" w:rsidR="00AC3EB1" w:rsidRPr="000F168D" w:rsidRDefault="00AC3EB1" w:rsidP="00D618CB">
      <w:pPr>
        <w:rPr>
          <w:b/>
          <w:bCs/>
        </w:rPr>
      </w:pPr>
    </w:p>
    <w:p w14:paraId="7C60AF44" w14:textId="5B280C66" w:rsidR="00AC3EB1" w:rsidRPr="000F168D" w:rsidRDefault="006804FD" w:rsidP="00EE7377">
      <w:pPr>
        <w:jc w:val="both"/>
      </w:pPr>
      <w:r w:rsidRPr="000F168D">
        <w:t>Hatósági vagy bírósági eljárás során a</w:t>
      </w:r>
      <w:r w:rsidR="00EE7377" w:rsidRPr="000F168D">
        <w:t xml:space="preserve"> bejelentővédelmi </w:t>
      </w:r>
      <w:r w:rsidRPr="000F168D">
        <w:t>jogokat korlátozó vagy kizáró</w:t>
      </w:r>
      <w:r w:rsidR="00AC3EB1" w:rsidRPr="000F168D">
        <w:t xml:space="preserve"> </w:t>
      </w:r>
      <w:r w:rsidRPr="000F168D">
        <w:t>nyilatkozatra, szerződésre,</w:t>
      </w:r>
      <w:r w:rsidR="00284E98" w:rsidRPr="000F168D">
        <w:t xml:space="preserve"> </w:t>
      </w:r>
      <w:r w:rsidRPr="000F168D">
        <w:t>szabályzatra jogszerűen hivatkozni nem lehet.</w:t>
      </w:r>
    </w:p>
    <w:p w14:paraId="5B34D9BA" w14:textId="607D2238" w:rsidR="00AC3EB1" w:rsidRPr="000F168D" w:rsidRDefault="00AC3EB1" w:rsidP="00D618CB">
      <w:pPr>
        <w:rPr>
          <w:b/>
          <w:bCs/>
        </w:rPr>
      </w:pPr>
    </w:p>
    <w:p w14:paraId="1729EF42" w14:textId="3ECC6E59" w:rsidR="006E22FF" w:rsidRPr="000F168D" w:rsidRDefault="00AC3EB1" w:rsidP="006E22FF">
      <w:pPr>
        <w:numPr>
          <w:ilvl w:val="1"/>
          <w:numId w:val="2"/>
        </w:numPr>
        <w:ind w:left="709" w:hanging="425"/>
        <w:jc w:val="both"/>
        <w:outlineLvl w:val="1"/>
        <w:rPr>
          <w:b/>
          <w:bCs/>
        </w:rPr>
      </w:pPr>
      <w:bookmarkStart w:id="53" w:name="_Toc138772528"/>
      <w:r w:rsidRPr="000F168D">
        <w:rPr>
          <w:b/>
        </w:rPr>
        <w:t>A jogszerű bejelentés feltételei</w:t>
      </w:r>
      <w:bookmarkEnd w:id="53"/>
    </w:p>
    <w:p w14:paraId="43B22F16" w14:textId="77777777" w:rsidR="006E22FF" w:rsidRPr="000F168D" w:rsidRDefault="006E22FF" w:rsidP="006E22FF">
      <w:pPr>
        <w:ind w:left="709"/>
        <w:jc w:val="both"/>
        <w:outlineLvl w:val="1"/>
        <w:rPr>
          <w:b/>
          <w:bCs/>
        </w:rPr>
      </w:pPr>
    </w:p>
    <w:p w14:paraId="28EFB552" w14:textId="59A96EB4" w:rsidR="006E22FF" w:rsidRPr="000F168D" w:rsidRDefault="006E22FF" w:rsidP="006E22FF">
      <w:pPr>
        <w:numPr>
          <w:ilvl w:val="2"/>
          <w:numId w:val="2"/>
        </w:numPr>
        <w:ind w:left="1134" w:hanging="567"/>
        <w:jc w:val="both"/>
        <w:outlineLvl w:val="2"/>
        <w:rPr>
          <w:b/>
        </w:rPr>
      </w:pPr>
      <w:bookmarkStart w:id="54" w:name="_Toc138772529"/>
      <w:r w:rsidRPr="000F168D">
        <w:rPr>
          <w:b/>
        </w:rPr>
        <w:t>A jogszerű bejelentés együttes feltételei</w:t>
      </w:r>
      <w:bookmarkEnd w:id="54"/>
    </w:p>
    <w:p w14:paraId="2773CEE0" w14:textId="20D42C9C" w:rsidR="00AC3EB1" w:rsidRPr="000F168D" w:rsidRDefault="00AC3EB1" w:rsidP="006E22FF">
      <w:pPr>
        <w:ind w:left="1134"/>
        <w:jc w:val="both"/>
        <w:outlineLvl w:val="2"/>
        <w:rPr>
          <w:b/>
        </w:rPr>
      </w:pPr>
    </w:p>
    <w:p w14:paraId="16069C21" w14:textId="70B5B9F1" w:rsidR="00AC3EB1" w:rsidRPr="000F168D" w:rsidRDefault="00AC3EB1" w:rsidP="005F4E1C">
      <w:pPr>
        <w:jc w:val="both"/>
      </w:pPr>
      <w:bookmarkStart w:id="55" w:name="_Hlk139025657"/>
      <w:r w:rsidRPr="000F168D">
        <w:t xml:space="preserve">A bejelentés megtétele jogszerű, ha </w:t>
      </w:r>
    </w:p>
    <w:p w14:paraId="16A051EB" w14:textId="44AAA944" w:rsidR="00AC3EB1" w:rsidRPr="000F168D" w:rsidRDefault="00AC3EB1" w:rsidP="005F4E1C">
      <w:pPr>
        <w:jc w:val="both"/>
      </w:pPr>
      <w:r w:rsidRPr="000F168D">
        <w:t>a) a bejelentő a bejelentését a visszaélés-bejelentési rendszer</w:t>
      </w:r>
      <w:r w:rsidR="00F953C3" w:rsidRPr="000F168D">
        <w:t>eken keresztül</w:t>
      </w:r>
      <w:r w:rsidRPr="000F168D">
        <w:t>, a</w:t>
      </w:r>
      <w:r w:rsidR="00256A08" w:rsidRPr="000F168D">
        <w:t xml:space="preserve"> Panasztörvényben </w:t>
      </w:r>
      <w:r w:rsidRPr="000F168D">
        <w:t xml:space="preserve">meghatározott szabályok szerint tette meg, </w:t>
      </w:r>
    </w:p>
    <w:p w14:paraId="1F735321" w14:textId="6201EE6A" w:rsidR="00AC3EB1" w:rsidRPr="000F168D" w:rsidRDefault="00AC3EB1" w:rsidP="005F4E1C">
      <w:pPr>
        <w:jc w:val="both"/>
      </w:pPr>
      <w:r w:rsidRPr="000F168D">
        <w:t xml:space="preserve">b) a bejelentő a bejelentéssel érintett körülményekre vonatkozó, bejelentett információt a munkavégzéssel kapcsolatos tevékenységével összefüggésben – ideértve a </w:t>
      </w:r>
      <w:r w:rsidR="007722FB" w:rsidRPr="000F168D">
        <w:t xml:space="preserve">munkajogi vagy polgári jogi </w:t>
      </w:r>
      <w:r w:rsidRPr="000F168D">
        <w:t>jogvi</w:t>
      </w:r>
      <w:r w:rsidR="00254F96" w:rsidRPr="000F168D">
        <w:t>sz</w:t>
      </w:r>
      <w:r w:rsidRPr="000F168D">
        <w:t xml:space="preserve">ony létesítésére irányuló eljárást is – szerezte, és </w:t>
      </w:r>
    </w:p>
    <w:p w14:paraId="2648D9A7" w14:textId="610B787E" w:rsidR="00AC3EB1" w:rsidRPr="000F168D" w:rsidRDefault="00AC3EB1" w:rsidP="005F4E1C">
      <w:pPr>
        <w:jc w:val="both"/>
      </w:pPr>
      <w:r w:rsidRPr="000F168D">
        <w:t xml:space="preserve">c) a bejelentő alapos okkal vélelmezte, hogy a bejelentéssel érintett körülményekre vonatkozó, bejelentett információ a bejelentés időpontjában valós volt. </w:t>
      </w:r>
    </w:p>
    <w:bookmarkEnd w:id="55"/>
    <w:p w14:paraId="101A5CC2" w14:textId="5E652FED" w:rsidR="006E22FF" w:rsidRPr="000F168D" w:rsidRDefault="006E22FF" w:rsidP="005F4E1C">
      <w:pPr>
        <w:jc w:val="both"/>
      </w:pPr>
    </w:p>
    <w:p w14:paraId="70FCED2B" w14:textId="274E8726" w:rsidR="006E22FF" w:rsidRPr="000F168D" w:rsidRDefault="006E22FF" w:rsidP="00ED749F">
      <w:pPr>
        <w:jc w:val="both"/>
      </w:pPr>
      <w:r w:rsidRPr="000F168D">
        <w:t xml:space="preserve">Jogszerűen megtett bejelentésnek kell tekinteni, ha a bejelentő a bejelentését a feladat- és hatáskörrel rendelkező európai uniós intézményeknél, szerveknél, hivataloknál vagy ügynökségeknél teszi meg, és az együttes feltételek teljesülnek. </w:t>
      </w:r>
    </w:p>
    <w:p w14:paraId="43BA2CAC" w14:textId="1F8B2747" w:rsidR="00AC3EB1" w:rsidRPr="000F168D" w:rsidRDefault="00AC3EB1" w:rsidP="00AC3EB1">
      <w:pPr>
        <w:pStyle w:val="Bekezds"/>
        <w:ind w:firstLine="204"/>
        <w:jc w:val="both"/>
      </w:pPr>
    </w:p>
    <w:p w14:paraId="386E8C3C" w14:textId="49F6B6DB" w:rsidR="006E22FF" w:rsidRPr="000F168D" w:rsidRDefault="006E22FF" w:rsidP="006E22FF">
      <w:pPr>
        <w:numPr>
          <w:ilvl w:val="2"/>
          <w:numId w:val="2"/>
        </w:numPr>
        <w:ind w:left="1134" w:hanging="567"/>
        <w:jc w:val="both"/>
        <w:outlineLvl w:val="2"/>
        <w:rPr>
          <w:b/>
        </w:rPr>
      </w:pPr>
      <w:bookmarkStart w:id="56" w:name="_Toc138772530"/>
      <w:r w:rsidRPr="000F168D">
        <w:rPr>
          <w:b/>
        </w:rPr>
        <w:t>Jogszerű nyilvánosságra hozatal</w:t>
      </w:r>
      <w:bookmarkEnd w:id="56"/>
      <w:r w:rsidRPr="000F168D">
        <w:rPr>
          <w:b/>
        </w:rPr>
        <w:t xml:space="preserve"> </w:t>
      </w:r>
    </w:p>
    <w:p w14:paraId="18D1C774" w14:textId="77777777" w:rsidR="006E22FF" w:rsidRPr="000F168D" w:rsidRDefault="006E22FF" w:rsidP="006E22FF">
      <w:pPr>
        <w:pStyle w:val="Bekezds"/>
        <w:ind w:firstLine="204"/>
        <w:jc w:val="both"/>
      </w:pPr>
    </w:p>
    <w:p w14:paraId="53D2AC24" w14:textId="1EEDB024" w:rsidR="00AC3EB1" w:rsidRPr="000F168D" w:rsidRDefault="00AC3EB1" w:rsidP="005F4E1C">
      <w:pPr>
        <w:jc w:val="both"/>
      </w:pPr>
      <w:r w:rsidRPr="000F168D">
        <w:lastRenderedPageBreak/>
        <w:t xml:space="preserve">Jogszerűen megtett bejelentésnek kell tekinteni, ha a bejelentő a bejelentését nyilvánosságra hozza, és </w:t>
      </w:r>
      <w:r w:rsidR="006E22FF" w:rsidRPr="000F168D">
        <w:t xml:space="preserve">jogszerű bejelentésre előírt </w:t>
      </w:r>
      <w:r w:rsidRPr="000F168D">
        <w:t xml:space="preserve">feltételek teljesülése mellett a következő feltételek valamelyike teljesül: </w:t>
      </w:r>
    </w:p>
    <w:p w14:paraId="5422BE10" w14:textId="77777777" w:rsidR="00AC3EB1" w:rsidRPr="000F168D" w:rsidRDefault="00AC3EB1" w:rsidP="005F4E1C">
      <w:pPr>
        <w:jc w:val="both"/>
      </w:pPr>
      <w:r w:rsidRPr="000F168D">
        <w:t xml:space="preserve">a) a bejelentő </w:t>
      </w:r>
    </w:p>
    <w:p w14:paraId="53E2559C" w14:textId="18B8A600" w:rsidR="00AC3EB1" w:rsidRPr="000F168D" w:rsidRDefault="00AC3EB1" w:rsidP="005F4E1C">
      <w:pPr>
        <w:jc w:val="both"/>
      </w:pPr>
      <w:r w:rsidRPr="000F168D">
        <w:t xml:space="preserve">aa) először </w:t>
      </w:r>
      <w:r w:rsidR="00F953C3" w:rsidRPr="000F168D">
        <w:t xml:space="preserve">belső </w:t>
      </w:r>
      <w:r w:rsidRPr="000F168D">
        <w:t xml:space="preserve">visszaélés-bejelentési rendszert, ezt követően </w:t>
      </w:r>
      <w:r w:rsidR="00F953C3" w:rsidRPr="000F168D">
        <w:t>külső</w:t>
      </w:r>
      <w:r w:rsidRPr="000F168D">
        <w:t xml:space="preserve"> visszaélés-bejelentési rendszert igénybe vette, vagy </w:t>
      </w:r>
    </w:p>
    <w:p w14:paraId="2CFB2DCB" w14:textId="2A88496C" w:rsidR="00AC3EB1" w:rsidRPr="000F168D" w:rsidRDefault="00AC3EB1" w:rsidP="005F4E1C">
      <w:pPr>
        <w:jc w:val="both"/>
      </w:pPr>
      <w:r w:rsidRPr="000F168D">
        <w:t xml:space="preserve">ab) közvetlenül </w:t>
      </w:r>
      <w:r w:rsidR="00F953C3" w:rsidRPr="000F168D">
        <w:t>külső</w:t>
      </w:r>
      <w:r w:rsidRPr="000F168D">
        <w:t xml:space="preserve"> visszaélés-bejelentési rendszert igénybe vette, </w:t>
      </w:r>
    </w:p>
    <w:p w14:paraId="3B18A2B5" w14:textId="77777777" w:rsidR="00AC3EB1" w:rsidRPr="000F168D" w:rsidRDefault="00AC3EB1" w:rsidP="005F4E1C">
      <w:pPr>
        <w:jc w:val="both"/>
      </w:pPr>
      <w:r w:rsidRPr="000F168D">
        <w:t xml:space="preserve">és a visszaélés-bejelentési rendszer működtetője, illetve az eljárásra jogosult szerv az e törvényben meghatározott intézkedéseket határidőben nem tette meg, </w:t>
      </w:r>
    </w:p>
    <w:p w14:paraId="3B26CB0D" w14:textId="77777777" w:rsidR="00AC3EB1" w:rsidRPr="000F168D" w:rsidRDefault="00AC3EB1" w:rsidP="005F4E1C">
      <w:pPr>
        <w:jc w:val="both"/>
      </w:pPr>
      <w:r w:rsidRPr="000F168D">
        <w:t xml:space="preserve">b) a bejelentő alapos okkal vélelmezte, hogy a bejelentéssel érintett körülmény nyilvánvaló módon veszélyezteti a közérdeket – így különösen, ha visszafordíthatatlan kár bekövetkezésének kockázata áll fenn – vagy </w:t>
      </w:r>
    </w:p>
    <w:p w14:paraId="5A488EA2" w14:textId="093DA20B" w:rsidR="00AC3EB1" w:rsidRPr="000F168D" w:rsidRDefault="00AC3EB1" w:rsidP="005F4E1C">
      <w:pPr>
        <w:jc w:val="both"/>
      </w:pPr>
      <w:r w:rsidRPr="000F168D">
        <w:t xml:space="preserve">c) a bejelentő alapos okkal vélelmezte, hogy a </w:t>
      </w:r>
      <w:r w:rsidR="00F953C3" w:rsidRPr="000F168D">
        <w:t xml:space="preserve">külső </w:t>
      </w:r>
      <w:r w:rsidRPr="000F168D">
        <w:t xml:space="preserve">szerinti visszaélés-bejelentési rendszer igénybevétele esetén a bejelentéssel érintett körülmény sajátos jellegzetességei miatt fennáll annak a nyilvánvaló lehetősége, hogy </w:t>
      </w:r>
    </w:p>
    <w:p w14:paraId="2C94BFAF" w14:textId="366F6D8F" w:rsidR="00AC3EB1" w:rsidRPr="000F168D" w:rsidRDefault="00AC3EB1" w:rsidP="005F4E1C">
      <w:pPr>
        <w:jc w:val="both"/>
      </w:pPr>
      <w:r w:rsidRPr="000F168D">
        <w:t xml:space="preserve">ca) a bejelentővel szemben hátrányos intézkedést tesznek meg, vagy </w:t>
      </w:r>
    </w:p>
    <w:p w14:paraId="618A6674" w14:textId="77777777" w:rsidR="00AC3EB1" w:rsidRPr="000F168D" w:rsidRDefault="00AC3EB1" w:rsidP="005F4E1C">
      <w:pPr>
        <w:jc w:val="both"/>
      </w:pPr>
      <w:r w:rsidRPr="000F168D">
        <w:t xml:space="preserve">cb) a bejelentésben foglaltak érdemi elintézésére nem kerül sor. </w:t>
      </w:r>
    </w:p>
    <w:p w14:paraId="23D9FF22" w14:textId="77777777" w:rsidR="006E22FF" w:rsidRPr="000F168D" w:rsidRDefault="006E22FF" w:rsidP="00AC3EB1">
      <w:pPr>
        <w:pStyle w:val="Bekezds"/>
        <w:ind w:firstLine="204"/>
        <w:jc w:val="both"/>
      </w:pPr>
    </w:p>
    <w:p w14:paraId="03B44B7A" w14:textId="1F450212" w:rsidR="004D5998" w:rsidRPr="000F168D" w:rsidRDefault="006E22FF" w:rsidP="00D618CB">
      <w:pPr>
        <w:numPr>
          <w:ilvl w:val="1"/>
          <w:numId w:val="2"/>
        </w:numPr>
        <w:ind w:left="709" w:hanging="425"/>
        <w:jc w:val="both"/>
        <w:outlineLvl w:val="1"/>
        <w:rPr>
          <w:b/>
        </w:rPr>
      </w:pPr>
      <w:bookmarkStart w:id="57" w:name="_Toc138772531"/>
      <w:r w:rsidRPr="000F168D">
        <w:rPr>
          <w:b/>
        </w:rPr>
        <w:t>A bejelentő üldözésének jogkövetkezményei</w:t>
      </w:r>
      <w:bookmarkEnd w:id="57"/>
      <w:r w:rsidRPr="000F168D">
        <w:rPr>
          <w:b/>
        </w:rPr>
        <w:t xml:space="preserve"> </w:t>
      </w:r>
    </w:p>
    <w:p w14:paraId="081DCFF7" w14:textId="6C7E5897" w:rsidR="006804FD" w:rsidRPr="000F168D" w:rsidRDefault="006804FD" w:rsidP="00390132">
      <w:pPr>
        <w:jc w:val="both"/>
      </w:pPr>
      <w:r w:rsidRPr="000F168D">
        <w:t>A szabálysértésekről, a szabálysértési eljárásról és a szabálysértési nyilvántartási rendszerről szóló 2012. évi</w:t>
      </w:r>
      <w:r w:rsidR="006E22FF" w:rsidRPr="000F168D">
        <w:t xml:space="preserve"> </w:t>
      </w:r>
      <w:r w:rsidRPr="000F168D">
        <w:t xml:space="preserve">II. törvény </w:t>
      </w:r>
      <w:r w:rsidR="007722FB" w:rsidRPr="000F168D">
        <w:t xml:space="preserve">160/A §-a </w:t>
      </w:r>
      <w:r w:rsidR="006E22FF" w:rsidRPr="000F168D">
        <w:t>értelmében</w:t>
      </w:r>
      <w:r w:rsidR="008273DB" w:rsidRPr="000F168D">
        <w:t>,</w:t>
      </w:r>
      <w:r w:rsidRPr="000F168D">
        <w:t xml:space="preserve"> </w:t>
      </w:r>
      <w:r w:rsidR="00263CC5" w:rsidRPr="000F168D">
        <w:t>a</w:t>
      </w:r>
      <w:r w:rsidRPr="000F168D">
        <w:t xml:space="preserve">ki </w:t>
      </w:r>
      <w:r w:rsidR="00263CC5" w:rsidRPr="000F168D">
        <w:t>a Panasz</w:t>
      </w:r>
      <w:r w:rsidRPr="000F168D">
        <w:t xml:space="preserve">törvény szerinti visszaélés-bejelentés miatt a visszaélés bejelentőjével szemben </w:t>
      </w:r>
      <w:r w:rsidR="00263CC5" w:rsidRPr="000F168D">
        <w:t>a Panasz</w:t>
      </w:r>
      <w:r w:rsidRPr="000F168D">
        <w:t>törvény szerinti hátrányos intézkedést tesz, szabálysértést követ el.</w:t>
      </w:r>
      <w:r w:rsidR="00263CC5" w:rsidRPr="000F168D">
        <w:t xml:space="preserve"> </w:t>
      </w:r>
      <w:r w:rsidRPr="000F168D">
        <w:t xml:space="preserve">Aki a </w:t>
      </w:r>
      <w:r w:rsidR="00263CC5" w:rsidRPr="000F168D">
        <w:t>Panasz</w:t>
      </w:r>
      <w:r w:rsidRPr="000F168D">
        <w:t>törvény szerinti visszaélés-bejelentés megtételét akadályozza vagy megkísérli akadályozni, szabálysértést</w:t>
      </w:r>
      <w:r w:rsidR="006E22FF" w:rsidRPr="000F168D">
        <w:t xml:space="preserve"> </w:t>
      </w:r>
      <w:r w:rsidRPr="000F168D">
        <w:t>követ el.</w:t>
      </w:r>
    </w:p>
    <w:p w14:paraId="3968D3D6" w14:textId="05939642" w:rsidR="00C8080F" w:rsidRPr="000F168D" w:rsidRDefault="00C8080F" w:rsidP="00390132">
      <w:pPr>
        <w:jc w:val="both"/>
      </w:pPr>
    </w:p>
    <w:p w14:paraId="5B3BBE49" w14:textId="4E3DB095" w:rsidR="00C8080F" w:rsidRPr="000F168D" w:rsidRDefault="00C8080F" w:rsidP="00EB3306">
      <w:pPr>
        <w:numPr>
          <w:ilvl w:val="1"/>
          <w:numId w:val="2"/>
        </w:numPr>
        <w:ind w:left="709" w:hanging="425"/>
        <w:jc w:val="both"/>
        <w:outlineLvl w:val="1"/>
        <w:rPr>
          <w:b/>
        </w:rPr>
      </w:pPr>
      <w:bookmarkStart w:id="58" w:name="_Toc138772532"/>
      <w:r w:rsidRPr="000F168D">
        <w:rPr>
          <w:b/>
        </w:rPr>
        <w:t>A rosszhiszemű bejelentés következményei</w:t>
      </w:r>
      <w:bookmarkEnd w:id="58"/>
    </w:p>
    <w:p w14:paraId="0B8FE982" w14:textId="05325625" w:rsidR="00C8080F" w:rsidRPr="000F168D" w:rsidRDefault="00C8080F" w:rsidP="00C8080F">
      <w:pPr>
        <w:jc w:val="both"/>
      </w:pPr>
      <w:bookmarkStart w:id="59" w:name="_Hlk139026096"/>
      <w:r w:rsidRPr="000F168D">
        <w:t xml:space="preserve">Ha nyilvánvalóvá vált, hogy a bejelentő rosszhiszeműen, valótlan adatot vagy információt közölt és </w:t>
      </w:r>
    </w:p>
    <w:p w14:paraId="2AFDDA73" w14:textId="77777777" w:rsidR="00C8080F" w:rsidRPr="000F168D" w:rsidRDefault="00C8080F" w:rsidP="00C8080F">
      <w:pPr>
        <w:jc w:val="both"/>
      </w:pPr>
      <w:r w:rsidRPr="000F168D">
        <w:t xml:space="preserve">a) ezzel bűncselekmény vagy szabálysértés elkövetésére utaló körülmény merül fel, személyes adatait az eljárás lefolytatására jogosult szerv vagy személy részére át kell adni, </w:t>
      </w:r>
    </w:p>
    <w:p w14:paraId="67B2266C" w14:textId="77777777" w:rsidR="00C8080F" w:rsidRPr="000F168D" w:rsidRDefault="00C8080F" w:rsidP="00C8080F">
      <w:pPr>
        <w:jc w:val="both"/>
      </w:pPr>
      <w:r w:rsidRPr="000F168D">
        <w:t xml:space="preserve">b) alappal valószínűsíthető, hogy másnak jogellenes kárt vagy egyéb jogsérelmet okozott, személyes adatait az eljárás kezdeményezésére, illetve lefolytatására jogosult szervnek vagy személynek kérelmére át kell adni. </w:t>
      </w:r>
    </w:p>
    <w:bookmarkEnd w:id="59"/>
    <w:p w14:paraId="7ABFF01F" w14:textId="77777777" w:rsidR="00C675D8" w:rsidRPr="000F168D" w:rsidRDefault="00C675D8" w:rsidP="00C675D8">
      <w:pPr>
        <w:pStyle w:val="Listaszerbekezds"/>
        <w:rPr>
          <w:b/>
        </w:rPr>
      </w:pPr>
    </w:p>
    <w:p w14:paraId="35F60F8A" w14:textId="77777777" w:rsidR="0094364B" w:rsidRPr="000F168D" w:rsidRDefault="0094364B" w:rsidP="00C675D8">
      <w:pPr>
        <w:pStyle w:val="Listaszerbekezds"/>
        <w:rPr>
          <w:b/>
        </w:rPr>
      </w:pPr>
    </w:p>
    <w:p w14:paraId="4A596D78" w14:textId="175FB1FC" w:rsidR="00D30C0B" w:rsidRPr="000F168D" w:rsidRDefault="00C675D8" w:rsidP="00D618CB">
      <w:pPr>
        <w:numPr>
          <w:ilvl w:val="1"/>
          <w:numId w:val="2"/>
        </w:numPr>
        <w:ind w:left="709" w:hanging="425"/>
        <w:jc w:val="both"/>
        <w:outlineLvl w:val="1"/>
        <w:rPr>
          <w:b/>
        </w:rPr>
      </w:pPr>
      <w:bookmarkStart w:id="60" w:name="_Toc138772533"/>
      <w:r w:rsidRPr="000F168D">
        <w:rPr>
          <w:b/>
        </w:rPr>
        <w:t>Adat</w:t>
      </w:r>
      <w:r w:rsidR="002F0C3F" w:rsidRPr="000F168D">
        <w:rPr>
          <w:b/>
        </w:rPr>
        <w:t>védelmi rendelkezések</w:t>
      </w:r>
      <w:bookmarkEnd w:id="60"/>
    </w:p>
    <w:p w14:paraId="41426E22" w14:textId="41CF9039" w:rsidR="00D30C0B" w:rsidRPr="000F168D" w:rsidRDefault="00D30C0B" w:rsidP="001A7CDC">
      <w:pPr>
        <w:jc w:val="both"/>
      </w:pPr>
      <w:r w:rsidRPr="000F168D">
        <w:t xml:space="preserve">A bejelentésben érintett személyt a vizsgálat megkezdésekor részletesen tájékoztatni kell a bejelentésről, a személyes adatai védelmével kapcsolatban őt megillető jogairól, valamint az adatai kezelésére vonatkozó szabályokról. </w:t>
      </w:r>
      <w:r w:rsidR="009A14C7" w:rsidRPr="000F168D">
        <w:t xml:space="preserve">További részletszabályok a </w:t>
      </w:r>
      <w:r w:rsidR="00256A08" w:rsidRPr="000F168D">
        <w:t>7.</w:t>
      </w:r>
      <w:r w:rsidR="009A14C7" w:rsidRPr="000F168D">
        <w:t xml:space="preserve"> számú mellékletben</w:t>
      </w:r>
      <w:r w:rsidR="00D04FBC" w:rsidRPr="000F168D">
        <w:t xml:space="preserve"> találhatók</w:t>
      </w:r>
      <w:r w:rsidR="009A14C7" w:rsidRPr="000F168D">
        <w:t xml:space="preserve">, amely </w:t>
      </w:r>
      <w:r w:rsidR="00ED749F" w:rsidRPr="000F168D">
        <w:t xml:space="preserve">tájékoztató egyebekben </w:t>
      </w:r>
      <w:r w:rsidR="009A14C7" w:rsidRPr="000F168D">
        <w:t xml:space="preserve">a </w:t>
      </w:r>
      <w:r w:rsidR="00ED749F" w:rsidRPr="000F168D">
        <w:t>http</w:t>
      </w:r>
      <w:r w:rsidR="00EB3306" w:rsidRPr="000F168D">
        <w:t>s</w:t>
      </w:r>
      <w:r w:rsidR="00ED749F" w:rsidRPr="000F168D">
        <w:t>://</w:t>
      </w:r>
      <w:r w:rsidR="00EB3306" w:rsidRPr="000F168D">
        <w:t>csfk.org</w:t>
      </w:r>
      <w:r w:rsidR="009A14C7" w:rsidRPr="000F168D">
        <w:t xml:space="preserve"> </w:t>
      </w:r>
      <w:r w:rsidR="00ED749F" w:rsidRPr="000F168D">
        <w:t xml:space="preserve">honlapon </w:t>
      </w:r>
      <w:r w:rsidR="009A14C7" w:rsidRPr="000F168D">
        <w:t xml:space="preserve">is megtalálható. </w:t>
      </w:r>
    </w:p>
    <w:p w14:paraId="2CE39307" w14:textId="77777777" w:rsidR="004B3631" w:rsidRPr="000F168D" w:rsidRDefault="004B3631" w:rsidP="004D5998">
      <w:pPr>
        <w:jc w:val="both"/>
        <w:outlineLvl w:val="1"/>
      </w:pPr>
    </w:p>
    <w:p w14:paraId="4E95470E" w14:textId="3CF6B6C4" w:rsidR="004B3631" w:rsidRPr="000F168D" w:rsidRDefault="004D5998" w:rsidP="00F242B1">
      <w:pPr>
        <w:numPr>
          <w:ilvl w:val="1"/>
          <w:numId w:val="2"/>
        </w:numPr>
        <w:ind w:left="709" w:hanging="425"/>
        <w:jc w:val="both"/>
        <w:outlineLvl w:val="1"/>
        <w:rPr>
          <w:b/>
        </w:rPr>
      </w:pPr>
      <w:r w:rsidRPr="000F168D">
        <w:rPr>
          <w:b/>
        </w:rPr>
        <w:t xml:space="preserve"> </w:t>
      </w:r>
      <w:bookmarkStart w:id="61" w:name="_Toc138772534"/>
      <w:r w:rsidR="00A941AC" w:rsidRPr="000F168D">
        <w:rPr>
          <w:b/>
        </w:rPr>
        <w:t xml:space="preserve">A </w:t>
      </w:r>
      <w:r w:rsidR="00F242B1" w:rsidRPr="000F168D">
        <w:rPr>
          <w:b/>
        </w:rPr>
        <w:t xml:space="preserve">külső </w:t>
      </w:r>
      <w:r w:rsidR="00A941AC" w:rsidRPr="000F168D">
        <w:rPr>
          <w:b/>
        </w:rPr>
        <w:t>visszaélés-bejelentési rendszerekre és eljárásokra vonatkozó tájékoztatás</w:t>
      </w:r>
      <w:bookmarkEnd w:id="61"/>
    </w:p>
    <w:p w14:paraId="66C7590D" w14:textId="35D0235C" w:rsidR="00ED749F" w:rsidRPr="000F168D" w:rsidRDefault="00ED749F" w:rsidP="00ED749F">
      <w:pPr>
        <w:jc w:val="both"/>
      </w:pPr>
      <w:r w:rsidRPr="000F168D">
        <w:t xml:space="preserve">Bejelentést az </w:t>
      </w:r>
      <w:r w:rsidR="0094364B" w:rsidRPr="000F168D">
        <w:t>A</w:t>
      </w:r>
      <w:r w:rsidRPr="000F168D">
        <w:t xml:space="preserve">lapvető </w:t>
      </w:r>
      <w:r w:rsidR="0094364B" w:rsidRPr="000F168D">
        <w:t>J</w:t>
      </w:r>
      <w:r w:rsidRPr="000F168D">
        <w:t xml:space="preserve">ogok </w:t>
      </w:r>
      <w:r w:rsidR="0094364B" w:rsidRPr="000F168D">
        <w:t>B</w:t>
      </w:r>
      <w:r w:rsidRPr="000F168D">
        <w:t>iztos</w:t>
      </w:r>
      <w:r w:rsidR="0094364B" w:rsidRPr="000F168D">
        <w:t>ának Hivatala</w:t>
      </w:r>
      <w:r w:rsidRPr="000F168D">
        <w:t xml:space="preserve"> által működtetett közérdekű bejelentések védett elektronikus rendszerében is meg lehet tenni.  Ezt hívjuk külső visszaélés-bejelentési rendszernek. </w:t>
      </w:r>
    </w:p>
    <w:p w14:paraId="44AEBE77" w14:textId="77777777" w:rsidR="004B3631" w:rsidRPr="000F168D" w:rsidRDefault="004B3631" w:rsidP="004B3631">
      <w:pPr>
        <w:jc w:val="both"/>
      </w:pPr>
    </w:p>
    <w:p w14:paraId="6C2FD669" w14:textId="55D39F2D" w:rsidR="009E672B" w:rsidRPr="000F168D" w:rsidRDefault="00E31F4F" w:rsidP="00ED749F">
      <w:pPr>
        <w:spacing w:after="60"/>
        <w:jc w:val="both"/>
        <w:outlineLvl w:val="1"/>
        <w:rPr>
          <w:b/>
        </w:rPr>
      </w:pPr>
      <w:bookmarkStart w:id="62" w:name="_Toc117843314"/>
      <w:bookmarkStart w:id="63" w:name="_Toc117248828"/>
      <w:bookmarkStart w:id="64" w:name="_Toc83974735"/>
      <w:bookmarkStart w:id="65" w:name="_Toc21942045"/>
      <w:bookmarkStart w:id="66" w:name="_Toc21427566"/>
      <w:bookmarkStart w:id="67" w:name="_Toc21425263"/>
      <w:bookmarkStart w:id="68" w:name="_Toc21425131"/>
      <w:bookmarkStart w:id="69" w:name="_Toc138772540"/>
      <w:bookmarkEnd w:id="34"/>
      <w:r w:rsidRPr="000F168D">
        <w:rPr>
          <w:b/>
        </w:rPr>
        <w:t>Mellékletek</w:t>
      </w:r>
      <w:bookmarkStart w:id="70" w:name="_Toc138772541"/>
      <w:bookmarkEnd w:id="62"/>
      <w:bookmarkEnd w:id="63"/>
      <w:bookmarkEnd w:id="64"/>
      <w:bookmarkEnd w:id="65"/>
      <w:bookmarkEnd w:id="66"/>
      <w:bookmarkEnd w:id="67"/>
      <w:bookmarkEnd w:id="68"/>
      <w:bookmarkEnd w:id="69"/>
      <w:r w:rsidR="00ED749F" w:rsidRPr="000F168D">
        <w:rPr>
          <w:b/>
        </w:rPr>
        <w:t>:</w:t>
      </w:r>
    </w:p>
    <w:p w14:paraId="0FADBD17" w14:textId="04626080" w:rsidR="009E672B" w:rsidRPr="000F168D" w:rsidRDefault="009E672B" w:rsidP="009E672B">
      <w:pPr>
        <w:jc w:val="both"/>
      </w:pPr>
      <w:r w:rsidRPr="000F168D">
        <w:t>1.sz. melléklet -</w:t>
      </w:r>
      <w:bookmarkEnd w:id="70"/>
      <w:r w:rsidRPr="000F168D">
        <w:t xml:space="preserve"> </w:t>
      </w:r>
      <w:r w:rsidR="00AD53B2" w:rsidRPr="000F168D">
        <w:t>e</w:t>
      </w:r>
      <w:r w:rsidRPr="000F168D">
        <w:t xml:space="preserve">urópai uniós jogi rendelkezések </w:t>
      </w:r>
    </w:p>
    <w:p w14:paraId="36090A2F" w14:textId="60B2635D" w:rsidR="00C045DE" w:rsidRPr="000F168D" w:rsidRDefault="009E672B" w:rsidP="009E672B">
      <w:pPr>
        <w:jc w:val="both"/>
      </w:pPr>
      <w:r w:rsidRPr="000F168D">
        <w:t xml:space="preserve">2. sz. melléklet - </w:t>
      </w:r>
      <w:r w:rsidR="00AD53B2" w:rsidRPr="000F168D">
        <w:t>a</w:t>
      </w:r>
      <w:r w:rsidRPr="000F168D">
        <w:t xml:space="preserve"> védelem alkalmazhatóságát meghatározó európai uniós jogi rendelkezések </w:t>
      </w:r>
    </w:p>
    <w:p w14:paraId="2B1A14F9" w14:textId="320D1D02" w:rsidR="009E672B" w:rsidRPr="000F168D" w:rsidRDefault="009E672B" w:rsidP="009E672B">
      <w:pPr>
        <w:jc w:val="both"/>
      </w:pPr>
      <w:r w:rsidRPr="000F168D">
        <w:lastRenderedPageBreak/>
        <w:t xml:space="preserve">3. sz. melléklet </w:t>
      </w:r>
      <w:r w:rsidR="00AD53B2" w:rsidRPr="000F168D">
        <w:t>–</w:t>
      </w:r>
      <w:r w:rsidRPr="000F168D">
        <w:t xml:space="preserve"> </w:t>
      </w:r>
      <w:r w:rsidR="00AD53B2" w:rsidRPr="000F168D">
        <w:t>honlap / Intranet – tájékoztató a visszaélések bejelentéséről</w:t>
      </w:r>
    </w:p>
    <w:p w14:paraId="2FA8DEBE" w14:textId="19B79B0E" w:rsidR="00C045DE" w:rsidRPr="000F168D" w:rsidRDefault="00AD53B2" w:rsidP="004D5998">
      <w:pPr>
        <w:spacing w:after="60"/>
        <w:jc w:val="both"/>
        <w:outlineLvl w:val="1"/>
      </w:pPr>
      <w:bookmarkStart w:id="71" w:name="_Toc138772543"/>
      <w:r w:rsidRPr="000F168D">
        <w:t xml:space="preserve">4. sz. melléklet – bejelentés </w:t>
      </w:r>
      <w:r w:rsidR="00C045DE" w:rsidRPr="000F168D">
        <w:t>sablon</w:t>
      </w:r>
      <w:bookmarkEnd w:id="71"/>
    </w:p>
    <w:p w14:paraId="69DC7342" w14:textId="12410AC1" w:rsidR="001504A1" w:rsidRPr="000F168D" w:rsidRDefault="00AD53B2" w:rsidP="004D5998">
      <w:pPr>
        <w:spacing w:after="60"/>
        <w:jc w:val="both"/>
        <w:outlineLvl w:val="1"/>
      </w:pPr>
      <w:bookmarkStart w:id="72" w:name="_Toc138772544"/>
      <w:r w:rsidRPr="000F168D">
        <w:t>5. sz. melléklet - t</w:t>
      </w:r>
      <w:r w:rsidR="001504A1" w:rsidRPr="000F168D">
        <w:t>itoktartási nyilatkozat</w:t>
      </w:r>
      <w:bookmarkEnd w:id="72"/>
      <w:r w:rsidR="001504A1" w:rsidRPr="000F168D">
        <w:t xml:space="preserve"> </w:t>
      </w:r>
    </w:p>
    <w:p w14:paraId="341E8F99" w14:textId="2C5368E6" w:rsidR="00254F96" w:rsidRPr="000F168D" w:rsidRDefault="00AD53B2" w:rsidP="004D5998">
      <w:pPr>
        <w:spacing w:after="60"/>
        <w:jc w:val="both"/>
        <w:outlineLvl w:val="1"/>
      </w:pPr>
      <w:bookmarkStart w:id="73" w:name="_Toc138772545"/>
      <w:r w:rsidRPr="000F168D">
        <w:t xml:space="preserve">6. sz. melléklet - </w:t>
      </w:r>
      <w:r w:rsidR="00254F96" w:rsidRPr="000F168D">
        <w:t>szerződéses klauzula</w:t>
      </w:r>
      <w:bookmarkEnd w:id="73"/>
    </w:p>
    <w:p w14:paraId="0B9F875A" w14:textId="5D84BD65" w:rsidR="000F168D" w:rsidRPr="000F168D" w:rsidRDefault="00AD53B2" w:rsidP="00B1699F">
      <w:pPr>
        <w:spacing w:after="160" w:line="259" w:lineRule="auto"/>
      </w:pPr>
      <w:r w:rsidRPr="000F168D">
        <w:t xml:space="preserve">7. sz. melléklet </w:t>
      </w:r>
      <w:bookmarkStart w:id="74" w:name="_Toc138772546"/>
      <w:r w:rsidRPr="000F168D">
        <w:t>-</w:t>
      </w:r>
      <w:r w:rsidR="00C20650" w:rsidRPr="000F168D">
        <w:t xml:space="preserve"> </w:t>
      </w:r>
      <w:r w:rsidR="00C045DE" w:rsidRPr="000F168D">
        <w:t>adatkezelési táj</w:t>
      </w:r>
      <w:r w:rsidR="0021235E" w:rsidRPr="000F168D">
        <w:t>ékoztató</w:t>
      </w:r>
      <w:bookmarkEnd w:id="74"/>
    </w:p>
    <w:p w14:paraId="0AFCD606" w14:textId="77777777" w:rsidR="000F168D" w:rsidRPr="000F168D" w:rsidRDefault="000F168D" w:rsidP="00B1699F">
      <w:pPr>
        <w:spacing w:after="160" w:line="259" w:lineRule="auto"/>
      </w:pPr>
    </w:p>
    <w:p w14:paraId="15FE1C56" w14:textId="06656490" w:rsidR="000F168D" w:rsidRPr="000F168D" w:rsidRDefault="000F168D" w:rsidP="000F168D">
      <w:pPr>
        <w:numPr>
          <w:ilvl w:val="0"/>
          <w:numId w:val="2"/>
        </w:numPr>
        <w:jc w:val="center"/>
        <w:outlineLvl w:val="0"/>
        <w:rPr>
          <w:b/>
        </w:rPr>
      </w:pPr>
      <w:bookmarkStart w:id="75" w:name="_Toc518578592"/>
      <w:r w:rsidRPr="000F168D">
        <w:rPr>
          <w:b/>
        </w:rPr>
        <w:t>Záró rendelkezés</w:t>
      </w:r>
      <w:bookmarkEnd w:id="75"/>
    </w:p>
    <w:p w14:paraId="5091C1D1" w14:textId="77777777" w:rsidR="000F168D" w:rsidRPr="000F168D" w:rsidRDefault="000F168D" w:rsidP="000F168D">
      <w:pPr>
        <w:autoSpaceDE w:val="0"/>
        <w:autoSpaceDN w:val="0"/>
        <w:adjustRightInd w:val="0"/>
        <w:spacing w:line="276" w:lineRule="auto"/>
        <w:jc w:val="both"/>
      </w:pPr>
    </w:p>
    <w:p w14:paraId="02C56012" w14:textId="188B0FE7" w:rsidR="000F168D" w:rsidRPr="000F168D" w:rsidRDefault="000F168D" w:rsidP="000F168D">
      <w:pPr>
        <w:jc w:val="both"/>
      </w:pPr>
      <w:r w:rsidRPr="000F168D">
        <w:t xml:space="preserve">A jelen szabályzat rendelkezéseit </w:t>
      </w:r>
      <w:r w:rsidR="007359BF">
        <w:t xml:space="preserve">a szabályzat Főigazgatói jóváhagyó aláírása és kihirdetése napjától </w:t>
      </w:r>
      <w:r w:rsidRPr="000F168D">
        <w:t xml:space="preserve">kell alkalmazni. </w:t>
      </w:r>
    </w:p>
    <w:p w14:paraId="690350A7" w14:textId="77777777" w:rsidR="000F168D" w:rsidRPr="000F168D" w:rsidRDefault="000F168D" w:rsidP="000F168D">
      <w:pPr>
        <w:jc w:val="both"/>
      </w:pPr>
    </w:p>
    <w:p w14:paraId="1FF84B47" w14:textId="136CB943" w:rsidR="000F168D" w:rsidRPr="000F168D" w:rsidRDefault="000F168D" w:rsidP="000F168D">
      <w:pPr>
        <w:jc w:val="both"/>
      </w:pPr>
      <w:r w:rsidRPr="000F168D">
        <w:t>A szabályzat megismerésére a 4/2017. Főigazgatói utasításban leírtak vonatkoznak, amely szerint</w:t>
      </w:r>
      <w:r w:rsidRPr="000F168D">
        <w:t>:</w:t>
      </w:r>
      <w:r w:rsidRPr="000F168D">
        <w:t xml:space="preserve"> </w:t>
      </w:r>
    </w:p>
    <w:p w14:paraId="3F3A06C3" w14:textId="442D7BEF" w:rsidR="000F168D" w:rsidRPr="000F168D" w:rsidRDefault="000F168D" w:rsidP="000F168D">
      <w:pPr>
        <w:jc w:val="both"/>
      </w:pPr>
      <w:r w:rsidRPr="000F168D">
        <w:t>„</w:t>
      </w:r>
      <w:r w:rsidRPr="000F168D">
        <w:rPr>
          <w:i/>
          <w:iCs/>
        </w:rPr>
        <w:t>A Kutatóközpont valamennyi munkatársa elektronikus levélben kap értesítést az újonnan kiadott szabályzat megjelenéséről a főigazgatói titkárságról a @csfk.org (hivatalos) email címére. Az Intranet-en 2017. július 4-től megjelentetett belső szabályzatot, utasítást a Kutatóközpont - a kiadásról szóló elektronikus értesítés megküldését követő naptól kezdve - tudomásul vettként tekinti.</w:t>
      </w:r>
      <w:r w:rsidRPr="000F168D">
        <w:t>”</w:t>
      </w:r>
    </w:p>
    <w:p w14:paraId="4862AF59" w14:textId="10FD8BB0" w:rsidR="000F168D" w:rsidRPr="000F168D" w:rsidRDefault="000F168D">
      <w:pPr>
        <w:spacing w:after="160" w:line="259" w:lineRule="auto"/>
      </w:pPr>
      <w:r w:rsidRPr="000F168D">
        <w:br w:type="page"/>
      </w:r>
    </w:p>
    <w:p w14:paraId="69E493D6" w14:textId="77777777" w:rsidR="000F168D" w:rsidRPr="000F168D" w:rsidRDefault="000F168D">
      <w:pPr>
        <w:spacing w:after="160" w:line="259" w:lineRule="auto"/>
      </w:pPr>
    </w:p>
    <w:p w14:paraId="1D4E3CF1" w14:textId="77777777" w:rsidR="00C045DE" w:rsidRPr="000F168D" w:rsidRDefault="00C045DE" w:rsidP="00B1699F">
      <w:pPr>
        <w:spacing w:after="160" w:line="259" w:lineRule="auto"/>
      </w:pPr>
    </w:p>
    <w:p w14:paraId="25DBC6CF" w14:textId="3DD48264" w:rsidR="00A612B8" w:rsidRPr="000F168D" w:rsidRDefault="00A612B8" w:rsidP="00ED749F">
      <w:pPr>
        <w:pStyle w:val="Listaszerbekezds"/>
        <w:numPr>
          <w:ilvl w:val="0"/>
          <w:numId w:val="23"/>
        </w:numPr>
        <w:ind w:left="0"/>
        <w:jc w:val="center"/>
        <w:rPr>
          <w:b/>
          <w:bCs/>
          <w:lang w:eastAsia="de-DE"/>
        </w:rPr>
      </w:pPr>
      <w:bookmarkStart w:id="76" w:name="_Toc21425264"/>
      <w:bookmarkStart w:id="77" w:name="_Toc21425132"/>
      <w:r w:rsidRPr="000F168D">
        <w:rPr>
          <w:b/>
          <w:bCs/>
          <w:lang w:eastAsia="de-DE"/>
        </w:rPr>
        <w:t>melléklet</w:t>
      </w:r>
    </w:p>
    <w:p w14:paraId="7B66C9BD" w14:textId="643995B8" w:rsidR="00A612B8" w:rsidRPr="000F168D" w:rsidRDefault="00C968F8" w:rsidP="00ED749F">
      <w:pPr>
        <w:pStyle w:val="FejezetCm"/>
        <w:spacing w:before="0" w:after="0"/>
        <w:outlineLvl w:val="3"/>
      </w:pPr>
      <w:bookmarkStart w:id="78" w:name="_Toc138772547"/>
      <w:r w:rsidRPr="000F168D">
        <w:t>E</w:t>
      </w:r>
      <w:r w:rsidR="00A612B8" w:rsidRPr="000F168D">
        <w:t>urópai uniós jogi rendelkezések</w:t>
      </w:r>
      <w:bookmarkEnd w:id="78"/>
      <w:r w:rsidR="00A612B8" w:rsidRPr="000F168D">
        <w:t xml:space="preserve"> </w:t>
      </w:r>
    </w:p>
    <w:p w14:paraId="31564FFF" w14:textId="77777777" w:rsidR="00A612B8" w:rsidRPr="000F168D" w:rsidRDefault="00A612B8" w:rsidP="00A612B8">
      <w:pPr>
        <w:pStyle w:val="Bekezds"/>
        <w:ind w:firstLine="204"/>
        <w:jc w:val="both"/>
        <w:rPr>
          <w:b/>
          <w:bCs/>
        </w:rPr>
      </w:pPr>
      <w:r w:rsidRPr="000F168D">
        <w:rPr>
          <w:b/>
          <w:bCs/>
        </w:rPr>
        <w:t xml:space="preserve">1. Pénzügyi szolgáltatások </w:t>
      </w:r>
    </w:p>
    <w:p w14:paraId="5747B8AF" w14:textId="77777777" w:rsidR="00A612B8" w:rsidRPr="000F168D" w:rsidRDefault="00A612B8" w:rsidP="00A612B8">
      <w:pPr>
        <w:pStyle w:val="Bekezds"/>
        <w:ind w:firstLine="204"/>
        <w:jc w:val="both"/>
      </w:pPr>
      <w:r w:rsidRPr="000F168D">
        <w:t xml:space="preserve">1.1. Az Európai Parlament és a Tanács 2009/65/EK irányelve (2009. július 13.) az átruházható értékpapírokkal foglalkozó kollektív befektetési vállalkozásokra (ÁÉKBV) vonatkozó törvényi, rendeleti és közigazgatási rendelkezések összehangolásáról </w:t>
      </w:r>
    </w:p>
    <w:p w14:paraId="7585039D" w14:textId="77777777" w:rsidR="00A612B8" w:rsidRPr="000F168D" w:rsidRDefault="00A612B8" w:rsidP="00A612B8">
      <w:pPr>
        <w:pStyle w:val="Bekezds"/>
        <w:ind w:firstLine="204"/>
        <w:jc w:val="both"/>
      </w:pPr>
      <w:r w:rsidRPr="000F168D">
        <w:t xml:space="preserve">1.2. Az Európai Parlament és a Tanács (EU) 2016/2341 irányelve (2016. december 14.) a foglalkoztatói nyugellátást szolgáltató intézmények tevékenységéről és felügyeletéről </w:t>
      </w:r>
    </w:p>
    <w:p w14:paraId="0AE88969" w14:textId="77777777" w:rsidR="00A612B8" w:rsidRPr="000F168D" w:rsidRDefault="00A612B8" w:rsidP="00A612B8">
      <w:pPr>
        <w:pStyle w:val="Bekezds"/>
        <w:ind w:firstLine="204"/>
        <w:jc w:val="both"/>
      </w:pPr>
      <w:r w:rsidRPr="000F168D">
        <w:t xml:space="preserve">1.3. Az Európai Parlament és a Tanács 2006/43/EK irányelve (2006. május 17.) az éves és összevont (konszolidált) éves beszámolók jog szerinti könyvvizsgálatáról, a 78/660/EGK és a 83/349/EGK tanácsi irányelv módosításáról, valamint a 84/253/EGK tanácsi irányelv hatályon kívül helyezéséről </w:t>
      </w:r>
    </w:p>
    <w:p w14:paraId="15EC3FDD" w14:textId="77777777" w:rsidR="00A612B8" w:rsidRPr="000F168D" w:rsidRDefault="00A612B8" w:rsidP="00A612B8">
      <w:pPr>
        <w:pStyle w:val="Bekezds"/>
        <w:ind w:firstLine="204"/>
        <w:jc w:val="both"/>
      </w:pPr>
      <w:r w:rsidRPr="000F168D">
        <w:t xml:space="preserve">1.4. Az Európai Parlament és a Tanács 596/2014/EU rendelete (2014. április 16.) a piaci visszaélésekről (piaci visszaélésekről szóló rendelet), valamint a 2003/6/EK európai parlamenti és tanácsi irányelv és a 2003/124/EK, a 2003/125/EK és a 2004/72/EK bizottsági irányelv hatályon kívül helyezéséről </w:t>
      </w:r>
    </w:p>
    <w:p w14:paraId="235AB609" w14:textId="77777777" w:rsidR="00A612B8" w:rsidRPr="000F168D" w:rsidRDefault="00A612B8" w:rsidP="00A612B8">
      <w:pPr>
        <w:pStyle w:val="Bekezds"/>
        <w:ind w:firstLine="204"/>
        <w:jc w:val="both"/>
      </w:pPr>
      <w:r w:rsidRPr="000F168D">
        <w:t xml:space="preserve">1.5. Az Európai Parlament és a Tanács 2013/36/EU irányelve (2013. június 26.) a hitelintézetek tevékenységéhez való hozzáférésről és a hitelintézetek és befektetési vállalkozások prudenciális felügyeletéről, a 2002/87/EK irányelv módosításáról, a 2006/48/EK és a 2006/49/EK irányelv hatályon kívül helyezéséről </w:t>
      </w:r>
    </w:p>
    <w:p w14:paraId="6A064C50" w14:textId="77777777" w:rsidR="00A612B8" w:rsidRPr="000F168D" w:rsidRDefault="00A612B8" w:rsidP="00A612B8">
      <w:pPr>
        <w:pStyle w:val="Bekezds"/>
        <w:ind w:firstLine="204"/>
        <w:jc w:val="both"/>
      </w:pPr>
      <w:r w:rsidRPr="000F168D">
        <w:t xml:space="preserve">1.6. Az Európai Parlament és a Tanács 2014/65/EU irányelve (2014. május 15.) a pénzügyi eszközök piacairól, valamint a 2002/92/EK irányelv és a 2011/61/EU irányelv módosításáról </w:t>
      </w:r>
    </w:p>
    <w:p w14:paraId="0EAA7920" w14:textId="77777777" w:rsidR="00A612B8" w:rsidRPr="000F168D" w:rsidRDefault="00A612B8" w:rsidP="00A612B8">
      <w:pPr>
        <w:pStyle w:val="Bekezds"/>
        <w:ind w:firstLine="204"/>
        <w:jc w:val="both"/>
      </w:pPr>
      <w:r w:rsidRPr="000F168D">
        <w:t xml:space="preserve">1.7. Az Európai Parlament és a Tanács 909/2014/EU rendelete (2014. július 23.) az Európai Unión belüli értékpapír-kiegyenlítés javításáról és a központi értéktárakról, valamint a 98/26/EK és a 2014/65/EU irányelv, valamint a 236/2012/EU rendelet módosításáról </w:t>
      </w:r>
    </w:p>
    <w:p w14:paraId="3CF56EDB" w14:textId="77777777" w:rsidR="00A612B8" w:rsidRPr="000F168D" w:rsidRDefault="00A612B8" w:rsidP="00A612B8">
      <w:pPr>
        <w:pStyle w:val="Bekezds"/>
        <w:ind w:firstLine="204"/>
        <w:jc w:val="both"/>
      </w:pPr>
      <w:r w:rsidRPr="000F168D">
        <w:t xml:space="preserve">1.8. Az Európai Parlament és a Tanács 1286/2014/EU rendelete (2014. november 26.) a lakossági befektetési csomagtermékekkel, illetve biztosítási alapú befektetési termékekkel kapcsolatos kiemelt információkat tartalmazó dokumentumokról </w:t>
      </w:r>
    </w:p>
    <w:p w14:paraId="2EAAA42C" w14:textId="77777777" w:rsidR="00A612B8" w:rsidRPr="000F168D" w:rsidRDefault="00A612B8" w:rsidP="00A612B8">
      <w:pPr>
        <w:pStyle w:val="Bekezds"/>
        <w:ind w:firstLine="204"/>
        <w:jc w:val="both"/>
      </w:pPr>
      <w:r w:rsidRPr="000F168D">
        <w:t xml:space="preserve">1.9. Az Európai Parlament és a Tanács (EU) 2015/2365 rendelete (2015. november 25.) az értékpapír-finanszírozási ügyletek és az újrafelhasználás átláthatóságáról, valamint a 648/2012/EU rendelet módosításáról </w:t>
      </w:r>
    </w:p>
    <w:p w14:paraId="6368F2F1" w14:textId="77777777" w:rsidR="00A612B8" w:rsidRPr="000F168D" w:rsidRDefault="00A612B8" w:rsidP="00A612B8">
      <w:pPr>
        <w:pStyle w:val="Bekezds"/>
        <w:ind w:firstLine="204"/>
        <w:jc w:val="both"/>
      </w:pPr>
      <w:r w:rsidRPr="000F168D">
        <w:t xml:space="preserve">1.10. Az Európai Parlament és a Tanács (EU) 2016/97 irányelve (2016. január 20.) a biztosítási értékesítésről </w:t>
      </w:r>
    </w:p>
    <w:p w14:paraId="4C3CE1EA" w14:textId="77777777" w:rsidR="00A612B8" w:rsidRPr="000F168D" w:rsidRDefault="00A612B8" w:rsidP="00A612B8">
      <w:pPr>
        <w:pStyle w:val="Bekezds"/>
        <w:ind w:firstLine="204"/>
        <w:jc w:val="both"/>
      </w:pPr>
      <w:r w:rsidRPr="000F168D">
        <w:t xml:space="preserve">1.11. Az Európai Parlament és a Tanács (EU) 2017/1129 rendelete (2017. június 14.) az értékpapírokra vonatkozó nyilvános ajánlattételkor vagy értékpapíroknak a szabályozott piacra történő bevezetésekor közzéteendő tájékoztatóról és a 2003/71/EK irányelv hatályon kívül helyezéséről </w:t>
      </w:r>
    </w:p>
    <w:p w14:paraId="56B3AA18" w14:textId="77777777" w:rsidR="00A612B8" w:rsidRPr="000F168D" w:rsidRDefault="00A612B8" w:rsidP="00A612B8">
      <w:pPr>
        <w:pStyle w:val="Bekezds"/>
        <w:ind w:firstLine="204"/>
        <w:jc w:val="both"/>
        <w:rPr>
          <w:b/>
          <w:bCs/>
        </w:rPr>
      </w:pPr>
      <w:r w:rsidRPr="000F168D">
        <w:rPr>
          <w:b/>
          <w:bCs/>
        </w:rPr>
        <w:t xml:space="preserve">2. A pénzmosás és a terrorizmusfinanszírozás megelőzése </w:t>
      </w:r>
    </w:p>
    <w:p w14:paraId="45913DA0" w14:textId="77777777" w:rsidR="00A612B8" w:rsidRPr="000F168D" w:rsidRDefault="00A612B8" w:rsidP="00A612B8">
      <w:pPr>
        <w:pStyle w:val="Bekezds"/>
        <w:ind w:firstLine="204"/>
        <w:jc w:val="both"/>
      </w:pPr>
      <w:r w:rsidRPr="000F168D">
        <w:t xml:space="preserve">2.1. Az Európai Parlament és a Tanács (EU) 2015/849 irányelve (2015. május 20.) a pénzügyi rendszerek pénzmosás vagy terrorizmusfinanszírozás céljára való felhasználásának megelőzéséről, a 648/2012/EU európai parlamenti és tanácsi rendelet módosításáról, valamint a 2005/60/EK európai parlamenti és tanácsi irányelv és a 2006/70/EK bizottsági irányelv hatályon kívül helyezéséről </w:t>
      </w:r>
    </w:p>
    <w:p w14:paraId="6FF5F3F8" w14:textId="77777777" w:rsidR="00A612B8" w:rsidRPr="000F168D" w:rsidRDefault="00A612B8" w:rsidP="00A612B8">
      <w:pPr>
        <w:pStyle w:val="Bekezds"/>
        <w:ind w:firstLine="204"/>
        <w:jc w:val="both"/>
      </w:pPr>
      <w:r w:rsidRPr="000F168D">
        <w:t xml:space="preserve">2.2. Az Európai Parlament és a Tanács (EU) 2015/847 rendelete (2015. május 20.) a pénzátutalásokat kísérő adatokról és az 1781/2006/EK rendelet hatályon kívül helyezéséről </w:t>
      </w:r>
    </w:p>
    <w:p w14:paraId="499D70EC" w14:textId="77777777" w:rsidR="00A612B8" w:rsidRPr="000F168D" w:rsidRDefault="00A612B8" w:rsidP="00A612B8">
      <w:pPr>
        <w:pStyle w:val="Bekezds"/>
        <w:ind w:firstLine="204"/>
        <w:jc w:val="both"/>
        <w:rPr>
          <w:b/>
          <w:bCs/>
        </w:rPr>
      </w:pPr>
      <w:r w:rsidRPr="000F168D">
        <w:rPr>
          <w:b/>
          <w:bCs/>
        </w:rPr>
        <w:t xml:space="preserve">3. Közlekedésbiztonság </w:t>
      </w:r>
    </w:p>
    <w:p w14:paraId="3801E314" w14:textId="77777777" w:rsidR="00A612B8" w:rsidRPr="000F168D" w:rsidRDefault="00A612B8" w:rsidP="00A612B8">
      <w:pPr>
        <w:pStyle w:val="Bekezds"/>
        <w:ind w:firstLine="204"/>
        <w:jc w:val="both"/>
      </w:pPr>
      <w:r w:rsidRPr="000F168D">
        <w:lastRenderedPageBreak/>
        <w:t xml:space="preserve">3.1. Az Európai Parlament és a Tanács 376/2014/EU rendelete (2014. április 3.) a polgári légi közlekedési események jelentéséről, elemzéséről és nyomon követéséről, valamint a 996/2010/EU európai parlamenti és tanácsi rendelet módosításáról és a 2003/42/EK európai parlamenti és tanácsi irányelv, valamint az 1321/2007/EK bizottsági rendelet és az 1330/2007/EK bizottsági rendelet hatályon kívül helyezéséről </w:t>
      </w:r>
    </w:p>
    <w:p w14:paraId="3B714BD6" w14:textId="77777777" w:rsidR="00A612B8" w:rsidRPr="000F168D" w:rsidRDefault="00A612B8" w:rsidP="00A612B8">
      <w:pPr>
        <w:pStyle w:val="Bekezds"/>
        <w:ind w:firstLine="204"/>
        <w:jc w:val="both"/>
      </w:pPr>
      <w:r w:rsidRPr="000F168D">
        <w:t xml:space="preserve">3.2. Az Európai Parlament és a Tanács 2013/54/EU irányelve (2013. november 20.) a 2006. évi tengerészeti munkaügyi egyezménynek való megfelelés és annak végrehajtása vonatkozásában a lobogó szerinti államokra háruló egyes kötelezettségekről </w:t>
      </w:r>
    </w:p>
    <w:p w14:paraId="047714DB" w14:textId="77777777" w:rsidR="00A612B8" w:rsidRPr="000F168D" w:rsidRDefault="00A612B8" w:rsidP="00A612B8">
      <w:pPr>
        <w:pStyle w:val="Bekezds"/>
        <w:ind w:firstLine="204"/>
        <w:jc w:val="both"/>
      </w:pPr>
      <w:r w:rsidRPr="000F168D">
        <w:t xml:space="preserve">3.3. Az Európai Parlament és a Tanács 2009/16/EK irányelve (2009. április 23.) a kikötő szerint illetékes állam általi ellenőrzésről </w:t>
      </w:r>
    </w:p>
    <w:p w14:paraId="6767CD4E" w14:textId="77777777" w:rsidR="00A612B8" w:rsidRPr="000F168D" w:rsidRDefault="00A612B8" w:rsidP="00A612B8">
      <w:pPr>
        <w:pStyle w:val="Bekezds"/>
        <w:ind w:firstLine="204"/>
        <w:jc w:val="both"/>
        <w:rPr>
          <w:b/>
          <w:bCs/>
        </w:rPr>
      </w:pPr>
      <w:r w:rsidRPr="000F168D">
        <w:rPr>
          <w:b/>
          <w:bCs/>
        </w:rPr>
        <w:t xml:space="preserve">4. Környezetvédelem </w:t>
      </w:r>
    </w:p>
    <w:p w14:paraId="37439233" w14:textId="19E73289" w:rsidR="005675F6" w:rsidRPr="000F168D" w:rsidRDefault="00A612B8" w:rsidP="00ED749F">
      <w:pPr>
        <w:pStyle w:val="Bekezds"/>
        <w:ind w:firstLine="204"/>
        <w:jc w:val="both"/>
      </w:pPr>
      <w:r w:rsidRPr="000F168D">
        <w:t xml:space="preserve">Az Európai Parlament és a Tanács 2013/30/EU irányelve (2013. június 12.) a tengeri olaj- és gázipari tevékenységek biztonságáról és a 2004/35/EK irányelv módosításáról </w:t>
      </w:r>
    </w:p>
    <w:p w14:paraId="40B6AE59" w14:textId="1DF4F061" w:rsidR="00B1699F" w:rsidRPr="000F168D" w:rsidRDefault="00B1699F">
      <w:pPr>
        <w:spacing w:after="160" w:line="259" w:lineRule="auto"/>
        <w:rPr>
          <w:rFonts w:eastAsiaTheme="minorEastAsia"/>
        </w:rPr>
      </w:pPr>
      <w:r w:rsidRPr="000F168D">
        <w:br w:type="page"/>
      </w:r>
    </w:p>
    <w:p w14:paraId="58B672A2" w14:textId="77777777" w:rsidR="00B1699F" w:rsidRPr="000F168D" w:rsidRDefault="00B1699F" w:rsidP="00ED749F">
      <w:pPr>
        <w:pStyle w:val="Bekezds"/>
        <w:ind w:firstLine="204"/>
        <w:jc w:val="both"/>
      </w:pPr>
    </w:p>
    <w:p w14:paraId="42192559" w14:textId="77777777" w:rsidR="00ED749F" w:rsidRPr="000F168D" w:rsidRDefault="00ED749F" w:rsidP="00ED749F">
      <w:pPr>
        <w:pStyle w:val="Bekezds"/>
        <w:ind w:firstLine="204"/>
        <w:jc w:val="both"/>
      </w:pPr>
    </w:p>
    <w:p w14:paraId="5E219DB5" w14:textId="1B8D61A2" w:rsidR="00A612B8" w:rsidRPr="000F168D" w:rsidRDefault="00A612B8" w:rsidP="00ED749F">
      <w:pPr>
        <w:pStyle w:val="Listaszerbekezds"/>
        <w:numPr>
          <w:ilvl w:val="0"/>
          <w:numId w:val="23"/>
        </w:numPr>
        <w:jc w:val="center"/>
        <w:rPr>
          <w:b/>
          <w:bCs/>
          <w:lang w:eastAsia="de-DE"/>
        </w:rPr>
      </w:pPr>
      <w:r w:rsidRPr="000F168D">
        <w:rPr>
          <w:b/>
          <w:bCs/>
          <w:lang w:eastAsia="de-DE"/>
        </w:rPr>
        <w:t>melléklet</w:t>
      </w:r>
    </w:p>
    <w:p w14:paraId="4AAC0C55" w14:textId="7DA5277C" w:rsidR="00A612B8" w:rsidRPr="000F168D" w:rsidRDefault="00A612B8" w:rsidP="00ED749F">
      <w:pPr>
        <w:pStyle w:val="FejezetCm"/>
        <w:spacing w:before="0"/>
        <w:outlineLvl w:val="3"/>
      </w:pPr>
      <w:bookmarkStart w:id="79" w:name="_Toc138772548"/>
      <w:r w:rsidRPr="000F168D">
        <w:t>A védelem alkalmazhatóságát meghatározó európai uniós jogi rendelkezések</w:t>
      </w:r>
      <w:bookmarkEnd w:id="79"/>
      <w:r w:rsidRPr="000F168D">
        <w:t xml:space="preserve"> </w:t>
      </w:r>
    </w:p>
    <w:p w14:paraId="45620214" w14:textId="77777777" w:rsidR="00A612B8" w:rsidRPr="000F168D" w:rsidRDefault="00A612B8" w:rsidP="00A612B8">
      <w:pPr>
        <w:pStyle w:val="Bekezds"/>
        <w:ind w:firstLine="204"/>
        <w:jc w:val="both"/>
        <w:rPr>
          <w:b/>
          <w:bCs/>
        </w:rPr>
      </w:pPr>
      <w:r w:rsidRPr="000F168D">
        <w:rPr>
          <w:b/>
          <w:bCs/>
        </w:rPr>
        <w:t xml:space="preserve">1. Közbeszerzés </w:t>
      </w:r>
    </w:p>
    <w:p w14:paraId="5BF69401" w14:textId="77777777" w:rsidR="00A612B8" w:rsidRPr="000F168D" w:rsidRDefault="00A612B8" w:rsidP="00A612B8">
      <w:pPr>
        <w:pStyle w:val="Bekezds"/>
        <w:ind w:firstLine="204"/>
        <w:jc w:val="both"/>
      </w:pPr>
      <w:r w:rsidRPr="000F168D">
        <w:t xml:space="preserve">1.1. A közbeszerzésre és a koncessziók odaítélésére, a védelem és a biztonság területével kapcsolatos szerződések odaítélésére, szerződéseknek a vízügyi, az energetikai, a közlekedési és a postai szolgáltatások területén tevékenykedő szervezetek általi odaítélésére, valamint minden egyéb szerződésre vonatkozó, az alábbiakban foglalt eljárási szabályok: </w:t>
      </w:r>
    </w:p>
    <w:p w14:paraId="1D98C2EE" w14:textId="77777777" w:rsidR="00A612B8" w:rsidRPr="000F168D" w:rsidRDefault="00A612B8" w:rsidP="00A612B8">
      <w:pPr>
        <w:pStyle w:val="Bekezds"/>
        <w:ind w:firstLine="204"/>
        <w:jc w:val="both"/>
      </w:pPr>
      <w:r w:rsidRPr="000F168D">
        <w:t xml:space="preserve">1.1.1. Az Európai Parlament és a Tanács 2014/23/EU irányelve (2014. február 26.) a koncessziós szerződésekről </w:t>
      </w:r>
    </w:p>
    <w:p w14:paraId="087AF2C4" w14:textId="77777777" w:rsidR="00A612B8" w:rsidRPr="000F168D" w:rsidRDefault="00A612B8" w:rsidP="00A612B8">
      <w:pPr>
        <w:pStyle w:val="Bekezds"/>
        <w:ind w:firstLine="204"/>
        <w:jc w:val="both"/>
      </w:pPr>
      <w:r w:rsidRPr="000F168D">
        <w:t xml:space="preserve">1.1.2. Az Európai Parlament és a Tanács 2014/24/EU irányelve (2014. február 26.) a közbeszerzésről és a 2004/18/EK irányelv hatályon kívül helyezéséről </w:t>
      </w:r>
    </w:p>
    <w:p w14:paraId="6FBFF58F" w14:textId="77777777" w:rsidR="00A612B8" w:rsidRPr="000F168D" w:rsidRDefault="00A612B8" w:rsidP="00A612B8">
      <w:pPr>
        <w:pStyle w:val="Bekezds"/>
        <w:ind w:firstLine="204"/>
        <w:jc w:val="both"/>
      </w:pPr>
      <w:r w:rsidRPr="000F168D">
        <w:t xml:space="preserve">1.1.3. Az Európai Parlament és a Tanács 2014/25/EU irányelve (2014. február 26.) a vízügyi, energiaipari, közlekedési és postai szolgáltatási ágazatban működő ajánlatkérők beszerzéseiről és a 2004/17/EK irányelv hatályon kívül helyezéséről </w:t>
      </w:r>
    </w:p>
    <w:p w14:paraId="323C5D2B" w14:textId="77777777" w:rsidR="00A612B8" w:rsidRPr="000F168D" w:rsidRDefault="00A612B8" w:rsidP="00A612B8">
      <w:pPr>
        <w:pStyle w:val="Bekezds"/>
        <w:ind w:firstLine="204"/>
        <w:jc w:val="both"/>
      </w:pPr>
      <w:r w:rsidRPr="000F168D">
        <w:t xml:space="preserve">1.1.4. Az Európai Parlament és a Tanács 2009/81/EK irányelve (2009. július 13.) a honvédelem és biztonság területén egyes építési beruházásra, árubeszerzésre és szolgáltatásnyújtásra irányuló, ajánlatkérő szervek vagy ajánlatkérők által odaítélt szerződések odaítélési eljárásainak összehangolásáról, valamint a 2004/17/EK és 2004/18/EK irányelv módosításáról </w:t>
      </w:r>
    </w:p>
    <w:p w14:paraId="50CF1BF4" w14:textId="77777777" w:rsidR="00A612B8" w:rsidRPr="000F168D" w:rsidRDefault="00A612B8" w:rsidP="00A612B8">
      <w:pPr>
        <w:pStyle w:val="Bekezds"/>
        <w:ind w:firstLine="204"/>
        <w:jc w:val="both"/>
      </w:pPr>
      <w:r w:rsidRPr="000F168D">
        <w:t xml:space="preserve">1.2. Az alábbiak által szabályozott jogorvoslati eljárások: </w:t>
      </w:r>
    </w:p>
    <w:p w14:paraId="3470379C" w14:textId="77777777" w:rsidR="00A612B8" w:rsidRPr="000F168D" w:rsidRDefault="00A612B8" w:rsidP="00A612B8">
      <w:pPr>
        <w:pStyle w:val="Bekezds"/>
        <w:ind w:firstLine="204"/>
        <w:jc w:val="both"/>
      </w:pPr>
      <w:r w:rsidRPr="000F168D">
        <w:t xml:space="preserve">1.2.1. A Tanács 92/13/EGK irányelve (1992. február 25.) a vízügyi, energiaipari, szállítási és távközlési ágazatokban működő vállalkozások beszerzési eljárásairól szóló közösségi szabályok alkalmazására vonatkozó törvényi, rendeleti és közigazgatási rendelkezések összehangolásáról </w:t>
      </w:r>
    </w:p>
    <w:p w14:paraId="50121897" w14:textId="77777777" w:rsidR="00A612B8" w:rsidRPr="000F168D" w:rsidRDefault="00A612B8" w:rsidP="00A612B8">
      <w:pPr>
        <w:pStyle w:val="Bekezds"/>
        <w:ind w:firstLine="204"/>
        <w:jc w:val="both"/>
      </w:pPr>
      <w:r w:rsidRPr="000F168D">
        <w:t xml:space="preserve">1.2.2. A Tanács 89/665/EGK irányelve (1989. december 21.) az árubeszerzésre és az építési beruházásra irányuló közbeszerzési szerződések odaítélésével kapcsolatos jogorvoslati eljárás alkalmazására vonatkozó törvényi, rendeleti és közigazgatási rendelkezések összehangolásáról </w:t>
      </w:r>
    </w:p>
    <w:p w14:paraId="6146262E" w14:textId="77777777" w:rsidR="00A612B8" w:rsidRPr="000F168D" w:rsidRDefault="00A612B8" w:rsidP="00A612B8">
      <w:pPr>
        <w:pStyle w:val="Bekezds"/>
        <w:ind w:firstLine="204"/>
        <w:jc w:val="both"/>
        <w:rPr>
          <w:b/>
          <w:bCs/>
        </w:rPr>
      </w:pPr>
      <w:r w:rsidRPr="000F168D">
        <w:rPr>
          <w:b/>
          <w:bCs/>
        </w:rPr>
        <w:t xml:space="preserve">2. Pénzügyi szolgáltatások, termékek és piacok, valamint a pénzmosás és a terrorizmusfinanszírozás megelőzése </w:t>
      </w:r>
    </w:p>
    <w:p w14:paraId="5B339DEF" w14:textId="77777777" w:rsidR="00A612B8" w:rsidRPr="000F168D" w:rsidRDefault="00A612B8" w:rsidP="00A612B8">
      <w:pPr>
        <w:pStyle w:val="Bekezds"/>
        <w:ind w:firstLine="204"/>
        <w:jc w:val="both"/>
      </w:pPr>
      <w:r w:rsidRPr="000F168D">
        <w:t xml:space="preserve">Az uniós pénzügyi szolgáltatásokra és tőkepiacokra, bankokra, hitelezésre, beruházásokra, biztosításra és viszontbiztosításra, foglalkozási vagy magánnyugdíj-termékekre, értékpapírokra, befektetési alapokra, fizetési szolgáltatásokra, valamint a hitelintézetek tevékenységéhez való hozzáférésről és a hitelintézetek és befektetési vállalkozások prudenciális felügyeletéről, a 2002/87/EK irányelv módosításáról, a 2006/48/EK és a 2006/49/EK irányelv hatályon kívül helyezéséről szóló, 2013. június 26-i 2013/36/EU európai parlamenti és tanácsi irányelv I. mellékletében felsorolt tevékenységekre vonatkozóan szabályozási és felügyeleti keretrendszert, továbbá a fogyasztók és a befektetők védelmét megállapító, az alábbiakban foglalt szabályok: </w:t>
      </w:r>
    </w:p>
    <w:p w14:paraId="663EB0E4" w14:textId="77777777" w:rsidR="00A612B8" w:rsidRPr="000F168D" w:rsidRDefault="00A612B8" w:rsidP="00A612B8">
      <w:pPr>
        <w:pStyle w:val="Bekezds"/>
        <w:ind w:firstLine="204"/>
        <w:jc w:val="both"/>
      </w:pPr>
      <w:r w:rsidRPr="000F168D">
        <w:t xml:space="preserve">2.1. Az Európai Parlament és a Tanács 2009/110/EK irányelve (2009. szeptember 16.) az elektronikuspénzkibocsátó intézmények tevékenységének megkezdéséről, folytatásáról és prudenciális felügyeletéről, a 2005/60/EK és a 2006/48/EK irányelv módosításáról, valamint a 2000/46/EK irányelv hatályon kívül helyezéséről </w:t>
      </w:r>
    </w:p>
    <w:p w14:paraId="0E14F738" w14:textId="77777777" w:rsidR="00A612B8" w:rsidRPr="000F168D" w:rsidRDefault="00A612B8" w:rsidP="00A612B8">
      <w:pPr>
        <w:pStyle w:val="Bekezds"/>
        <w:ind w:firstLine="204"/>
        <w:jc w:val="both"/>
      </w:pPr>
      <w:r w:rsidRPr="000F168D">
        <w:t xml:space="preserve">2.2. Az Európai Parlament és a Tanács 2011/61/EU irányelve (2011. június 8.) az alternatívbefektetésialap-kezelőkről, valamint a 2003/41/EK és a 2009/65/EK irányelv, továbbá az 1060/2009/EK és az 1095/2010/EU rendelet módosításáról </w:t>
      </w:r>
    </w:p>
    <w:p w14:paraId="555CD165" w14:textId="77777777" w:rsidR="00A612B8" w:rsidRPr="000F168D" w:rsidRDefault="00A612B8" w:rsidP="00A612B8">
      <w:pPr>
        <w:pStyle w:val="Bekezds"/>
        <w:ind w:firstLine="204"/>
        <w:jc w:val="both"/>
      </w:pPr>
      <w:r w:rsidRPr="000F168D">
        <w:t xml:space="preserve">2.3. Az Európai Parlament és a Tanács 236/2012/EU rendelete (2012. március 14.) a short ügyletekről és a hitel-nemteljesítési csereügyletekkel kapcsolatos egyes szempontokról </w:t>
      </w:r>
    </w:p>
    <w:p w14:paraId="64D9F66B" w14:textId="77777777" w:rsidR="00A612B8" w:rsidRPr="000F168D" w:rsidRDefault="00A612B8" w:rsidP="00A612B8">
      <w:pPr>
        <w:pStyle w:val="Bekezds"/>
        <w:ind w:firstLine="204"/>
        <w:jc w:val="both"/>
      </w:pPr>
      <w:r w:rsidRPr="000F168D">
        <w:lastRenderedPageBreak/>
        <w:t xml:space="preserve">2.4. Az Európai Parlament és a Tanács 345/2013/EU rendelete (2013. április 17.) az európai kockázatitőkealapokról </w:t>
      </w:r>
    </w:p>
    <w:p w14:paraId="18CF41D6" w14:textId="77777777" w:rsidR="00A612B8" w:rsidRPr="000F168D" w:rsidRDefault="00A612B8" w:rsidP="00A612B8">
      <w:pPr>
        <w:pStyle w:val="Bekezds"/>
        <w:ind w:firstLine="204"/>
        <w:jc w:val="both"/>
      </w:pPr>
      <w:r w:rsidRPr="000F168D">
        <w:t xml:space="preserve">2.5. Az Európai Parlament és a Tanács 346/2013/EU rendelete (2013. április 17.) az európai szociális vállalkozási alapokról </w:t>
      </w:r>
    </w:p>
    <w:p w14:paraId="621D75D9" w14:textId="77777777" w:rsidR="00A612B8" w:rsidRPr="000F168D" w:rsidRDefault="00A612B8" w:rsidP="00A612B8">
      <w:pPr>
        <w:pStyle w:val="Bekezds"/>
        <w:ind w:firstLine="204"/>
        <w:jc w:val="both"/>
      </w:pPr>
      <w:r w:rsidRPr="000F168D">
        <w:t xml:space="preserve">2.6. Az Európai Parlament és a Tanács 2014/17/EU irányelve (2014. február 4.) a lakóingatlanokhoz kapcsolódó fogyasztói hitelmegállapodásokról, valamint a 2008/48/EK és a 2013/36/EU irányelv és az 1093/2010/EU rendelet módosításáról </w:t>
      </w:r>
    </w:p>
    <w:p w14:paraId="1F3EEE22" w14:textId="77777777" w:rsidR="00A612B8" w:rsidRPr="000F168D" w:rsidRDefault="00A612B8" w:rsidP="00A612B8">
      <w:pPr>
        <w:pStyle w:val="Bekezds"/>
        <w:ind w:firstLine="204"/>
        <w:jc w:val="both"/>
      </w:pPr>
      <w:r w:rsidRPr="000F168D">
        <w:t xml:space="preserve">2.7. Az Európai Parlament és a Tanács 537/2014/EU rendelete (2014. április 16.) a közérdeklődésre számot tartó gazdálkodó egységek jogszabályban előírt könyvvizsgálatára vonatkozó egyedi követelményekről, valamint a 2005/909/EK bizottsági határozat hatályon kívül helyezéséről </w:t>
      </w:r>
    </w:p>
    <w:p w14:paraId="4C426232" w14:textId="77777777" w:rsidR="00A612B8" w:rsidRPr="000F168D" w:rsidRDefault="00A612B8" w:rsidP="00A612B8">
      <w:pPr>
        <w:pStyle w:val="Bekezds"/>
        <w:ind w:firstLine="204"/>
        <w:jc w:val="both"/>
      </w:pPr>
      <w:r w:rsidRPr="000F168D">
        <w:t xml:space="preserve">2.8. Az Európai Parlament és a Tanács 600/2014/EU rendelete (2014. május 15.) a pénzügyi eszközök piacairól és a 648/2012/EU rendelet módosításáról </w:t>
      </w:r>
    </w:p>
    <w:p w14:paraId="29BDFBD2" w14:textId="77777777" w:rsidR="00A612B8" w:rsidRPr="000F168D" w:rsidRDefault="00A612B8" w:rsidP="00A612B8">
      <w:pPr>
        <w:pStyle w:val="Bekezds"/>
        <w:ind w:firstLine="204"/>
        <w:jc w:val="both"/>
      </w:pPr>
      <w:r w:rsidRPr="000F168D">
        <w:t xml:space="preserve">2.9. Az Európai Parlament és a Tanács 2015/2366/EU irányelve (2015. november 25.) a belső piaci pénzforgalmi szolgáltatásokról és a 2002/65/EK, a 2009/110/EK és a 2013/36/EU irányelv és az 1093/2010/EU rendelet módosításáról, valamint a 2007/64/EK irányelv hatályon kívül helyezéséről </w:t>
      </w:r>
    </w:p>
    <w:p w14:paraId="78727117" w14:textId="77777777" w:rsidR="00A612B8" w:rsidRPr="000F168D" w:rsidRDefault="00A612B8" w:rsidP="00A612B8">
      <w:pPr>
        <w:pStyle w:val="Bekezds"/>
        <w:ind w:firstLine="204"/>
        <w:jc w:val="both"/>
      </w:pPr>
      <w:r w:rsidRPr="000F168D">
        <w:t xml:space="preserve">2.10. Az Európai Parlament és a Tanács 2004/25/EK irányelve (2004. április 21.) a nyilvános vételi ajánlatról </w:t>
      </w:r>
    </w:p>
    <w:p w14:paraId="59697C56" w14:textId="77777777" w:rsidR="00A612B8" w:rsidRPr="000F168D" w:rsidRDefault="00A612B8" w:rsidP="00A612B8">
      <w:pPr>
        <w:pStyle w:val="Bekezds"/>
        <w:ind w:firstLine="204"/>
        <w:jc w:val="both"/>
      </w:pPr>
      <w:r w:rsidRPr="000F168D">
        <w:t xml:space="preserve">2.11. Az Európai Parlament és a Tanács 2007/36/EK irányelve (2007. július 11.) az egyes részvényesi jogok gyakorlásáról a tőzsdén jegyzett társaságokban </w:t>
      </w:r>
    </w:p>
    <w:p w14:paraId="3ED3C82F" w14:textId="77777777" w:rsidR="00A612B8" w:rsidRPr="000F168D" w:rsidRDefault="00A612B8" w:rsidP="00A612B8">
      <w:pPr>
        <w:pStyle w:val="Bekezds"/>
        <w:ind w:firstLine="204"/>
        <w:jc w:val="both"/>
      </w:pPr>
      <w:r w:rsidRPr="000F168D">
        <w:t xml:space="preserve">2.12. Az Európai Parlament és a Tanács 2004/109/EK irányelve (2004. december 15.) a szabályozott piacra bevezetett értékpapírok kibocsátóival kapcsolatos információkra vonatkozó átláthatósági követelmények harmonizációjáról és a 2001/34/EK irányelv módosításáról </w:t>
      </w:r>
    </w:p>
    <w:p w14:paraId="5DB37DDA" w14:textId="77777777" w:rsidR="00A612B8" w:rsidRPr="000F168D" w:rsidRDefault="00A612B8" w:rsidP="00A612B8">
      <w:pPr>
        <w:pStyle w:val="Bekezds"/>
        <w:ind w:firstLine="204"/>
        <w:jc w:val="both"/>
      </w:pPr>
      <w:r w:rsidRPr="000F168D">
        <w:t xml:space="preserve">2.13. Az Európai Parlament és a Tanács 648/2012/EU rendelete (2012. július 4.) a tőzsdén kívüli származtatott ügyletekről, a központi szerződő felekről és a kereskedési adattárakról </w:t>
      </w:r>
    </w:p>
    <w:p w14:paraId="49EFF8AD" w14:textId="77777777" w:rsidR="00A612B8" w:rsidRPr="000F168D" w:rsidRDefault="00A612B8" w:rsidP="00A612B8">
      <w:pPr>
        <w:pStyle w:val="Bekezds"/>
        <w:ind w:firstLine="204"/>
        <w:jc w:val="both"/>
      </w:pPr>
      <w:r w:rsidRPr="000F168D">
        <w:t xml:space="preserve">2.14. Az Európai Parlament és a Tanács (EU) 2016/1011 rendelete (2016. június 8.) a pénzügyi eszközökben és pénzügyi ügyletekben referenciamutatóként vagy a befektetési alapok teljesítményének méréséhez felhasznált indexekről, valamint a 2008/48/EK és a 2014/17/EU irányelv, továbbá az 596/2014/EU rendelet módosításáról </w:t>
      </w:r>
    </w:p>
    <w:p w14:paraId="1623CE94" w14:textId="77777777" w:rsidR="00A612B8" w:rsidRPr="000F168D" w:rsidRDefault="00A612B8" w:rsidP="00A612B8">
      <w:pPr>
        <w:pStyle w:val="Bekezds"/>
        <w:ind w:firstLine="204"/>
        <w:jc w:val="both"/>
      </w:pPr>
      <w:r w:rsidRPr="000F168D">
        <w:t xml:space="preserve">2.15. Az Európai Parlament és a Tanács 2009/138/EK irányelve (2009. november 25.) a biztosítási és viszontbiztosítási üzleti tevékenység megkezdéséről és gyakorlásáról (Szolvencia II) </w:t>
      </w:r>
    </w:p>
    <w:p w14:paraId="76B8D369" w14:textId="77777777" w:rsidR="00A612B8" w:rsidRPr="000F168D" w:rsidRDefault="00A612B8" w:rsidP="00A612B8">
      <w:pPr>
        <w:pStyle w:val="Bekezds"/>
        <w:ind w:firstLine="204"/>
        <w:jc w:val="both"/>
      </w:pPr>
      <w:r w:rsidRPr="000F168D">
        <w:t xml:space="preserve">2.16. Az Európai Parlament és a Tanács 2014/59/EU irányelve (2014. május 15.) a hitelintézetek és befektetési vállalkozások helyreállítását és szanálását célzó keretrendszer létrehozásáról és a 82/891/EGK tanácsi irányelv, a 2001/24/EK, 2002/47/EK, 2004/25/EK, 2005/56/EK, 2007/36/EK, 2011/35/EU, 2012/30/EU és 2013/36/EU irányelv, valamint az 1093/2010/EU és a 648/2012/EU európai parlamenti és tanácsi rendelet módosításáról </w:t>
      </w:r>
    </w:p>
    <w:p w14:paraId="2B936692" w14:textId="77777777" w:rsidR="00A612B8" w:rsidRPr="000F168D" w:rsidRDefault="00A612B8" w:rsidP="00A612B8">
      <w:pPr>
        <w:pStyle w:val="Bekezds"/>
        <w:ind w:firstLine="204"/>
        <w:jc w:val="both"/>
      </w:pPr>
      <w:r w:rsidRPr="000F168D">
        <w:t xml:space="preserve">2.17. Az Európai Parlament és a Tanács 2002/87/EK irányelve (2002. december 16.) a pénzügyi konglomerátumhoz tartozó hitelintézetek, biztosítóintézetek és befektetési vállalkozások kiegészítő felügyeletéről, valamint a 73/239/EGK, a 79/267/EGK, a 92/49/EGK, a 92/96/EGK, a 93/6/EGK és a 93/22/EGK tanácsi irányelvek, illetve a 98/78/EK és 2000/12/EK európai parlamenti és tanácsi irányelvek módosításáról </w:t>
      </w:r>
    </w:p>
    <w:p w14:paraId="50D2B998" w14:textId="77777777" w:rsidR="00A612B8" w:rsidRPr="000F168D" w:rsidRDefault="00A612B8" w:rsidP="00A612B8">
      <w:pPr>
        <w:pStyle w:val="Bekezds"/>
        <w:ind w:firstLine="204"/>
        <w:jc w:val="both"/>
      </w:pPr>
      <w:r w:rsidRPr="000F168D">
        <w:t xml:space="preserve">2.18. Az Európai Parlament és a Tanács 2014/49/EU irányelve (2014. április 16.) a betétbiztosítási rendszerekről </w:t>
      </w:r>
    </w:p>
    <w:p w14:paraId="3F26CBCB" w14:textId="77777777" w:rsidR="00A612B8" w:rsidRPr="000F168D" w:rsidRDefault="00A612B8" w:rsidP="00A612B8">
      <w:pPr>
        <w:pStyle w:val="Bekezds"/>
        <w:ind w:firstLine="204"/>
        <w:jc w:val="both"/>
      </w:pPr>
      <w:r w:rsidRPr="000F168D">
        <w:t xml:space="preserve">2.19. Az Európai Parlament és a Tanács 97/9/EK irányelve (1997. március 3.) a befektetőkártalanítási rendszerekről </w:t>
      </w:r>
    </w:p>
    <w:p w14:paraId="4E6500D7" w14:textId="77777777" w:rsidR="00A612B8" w:rsidRPr="000F168D" w:rsidRDefault="00A612B8" w:rsidP="00A612B8">
      <w:pPr>
        <w:pStyle w:val="Bekezds"/>
        <w:ind w:firstLine="204"/>
        <w:jc w:val="both"/>
      </w:pPr>
      <w:r w:rsidRPr="000F168D">
        <w:t xml:space="preserve">2.20. Az Európai Parlament és a Tanács 575/2013/EU rendelete (2013. június 26.) a hitelintézetekre és befektetési vállalkozásokra vonatkozó prudenciális követelményekről és a </w:t>
      </w:r>
      <w:r w:rsidRPr="000F168D">
        <w:lastRenderedPageBreak/>
        <w:t xml:space="preserve">648/2012/EU rendelet módosításáról </w:t>
      </w:r>
    </w:p>
    <w:p w14:paraId="13DE06A2" w14:textId="77777777" w:rsidR="00A612B8" w:rsidRPr="000F168D" w:rsidRDefault="00A612B8" w:rsidP="00A612B8">
      <w:pPr>
        <w:pStyle w:val="Bekezds"/>
        <w:ind w:firstLine="204"/>
        <w:jc w:val="both"/>
      </w:pPr>
      <w:r w:rsidRPr="000F168D">
        <w:t xml:space="preserve">2.21. Az Európai Parlament és Tanács (EU) 2020/1503 rendelete (2020. október 7.) az európai közösségi finanszírozási üzleti szolgáltatókról, valamint az (EU) 2017/1129 rendelet és az (EU) 2019/1937 irányelv módosításáról </w:t>
      </w:r>
    </w:p>
    <w:p w14:paraId="47B1361D" w14:textId="77777777" w:rsidR="00A612B8" w:rsidRPr="000F168D" w:rsidRDefault="00A612B8" w:rsidP="00A612B8">
      <w:pPr>
        <w:pStyle w:val="Bekezds"/>
        <w:ind w:firstLine="204"/>
        <w:jc w:val="both"/>
        <w:rPr>
          <w:b/>
          <w:bCs/>
        </w:rPr>
      </w:pPr>
      <w:r w:rsidRPr="000F168D">
        <w:rPr>
          <w:b/>
          <w:bCs/>
        </w:rPr>
        <w:t xml:space="preserve">3. Termékbiztonság és termékmegfelelőség </w:t>
      </w:r>
    </w:p>
    <w:p w14:paraId="7475D863" w14:textId="77777777" w:rsidR="00A612B8" w:rsidRPr="000F168D" w:rsidRDefault="00A612B8" w:rsidP="00A612B8">
      <w:pPr>
        <w:pStyle w:val="Bekezds"/>
        <w:ind w:firstLine="204"/>
        <w:jc w:val="both"/>
      </w:pPr>
      <w:r w:rsidRPr="000F168D">
        <w:t xml:space="preserve">3.1. Az alábbiak által meghatározott és szabályozott, az uniós piacon forgalmazott termékekkel kapcsolatos biztonsági és megfelelőségi követelmények: </w:t>
      </w:r>
    </w:p>
    <w:p w14:paraId="67FB56B5" w14:textId="77777777" w:rsidR="00A612B8" w:rsidRPr="000F168D" w:rsidRDefault="00A612B8" w:rsidP="00A612B8">
      <w:pPr>
        <w:pStyle w:val="Bekezds"/>
        <w:ind w:firstLine="204"/>
        <w:jc w:val="both"/>
      </w:pPr>
      <w:r w:rsidRPr="000F168D">
        <w:t xml:space="preserve">3.1.1. Az Európai Parlament és a Tanács 2001/95/EK irányelve (2001. december 3.) az általános termékbiztonságról </w:t>
      </w:r>
    </w:p>
    <w:p w14:paraId="303A4AA0" w14:textId="77777777" w:rsidR="00A612B8" w:rsidRPr="000F168D" w:rsidRDefault="00A612B8" w:rsidP="00A612B8">
      <w:pPr>
        <w:pStyle w:val="Bekezds"/>
        <w:ind w:firstLine="204"/>
        <w:jc w:val="both"/>
      </w:pPr>
      <w:r w:rsidRPr="000F168D">
        <w:t xml:space="preserve">3.1.2. A piacfelügyeletről és a termékmegfelelőségről, valamint a 2004/42/EK irányelv, továbbá a 765/2008/EK és a 305/2011/EU rendelet módosításáról szóló, 2019. június 20-i (EU) 2019/1020 európai parlamenti és tanácsi rendelet I. és II. mellékletében szereplő, az élelmiszerektől, a takarmányoktól, az emberi, illetve az állatgyógyászati felhasználásra szánt gyógyszerektől, az élő növényektől és állatoktól, az emberi eredetű termékektől, valamint a növények és az állatok jövőbeli reprodukciójához közvetlenül kapcsolódó növényi és állati termékektől eltérő, gyártott termékekre vonatkozó, a címkézési követelményekre is kiterjedő uniós harmonizációs jogszabályok </w:t>
      </w:r>
    </w:p>
    <w:p w14:paraId="474DB30B" w14:textId="77777777" w:rsidR="00A612B8" w:rsidRPr="000F168D" w:rsidRDefault="00A612B8" w:rsidP="00A612B8">
      <w:pPr>
        <w:pStyle w:val="Bekezds"/>
        <w:ind w:firstLine="204"/>
        <w:jc w:val="both"/>
      </w:pPr>
      <w:r w:rsidRPr="000F168D">
        <w:t xml:space="preserve">3.1.3. Az Európai Parlament és a Tanács 2007/46/EK irányelve (2007. szeptember 5.) a gépjárművek és pótkocsijaik, valamint az ilyen járművek rendszereinek, alkatrészeinek és önálló műszaki egységeinek jóváhagyásáról (keretirányelv) </w:t>
      </w:r>
    </w:p>
    <w:p w14:paraId="0ADA7B73" w14:textId="77777777" w:rsidR="00A612B8" w:rsidRPr="000F168D" w:rsidRDefault="00A612B8" w:rsidP="00A612B8">
      <w:pPr>
        <w:pStyle w:val="Bekezds"/>
        <w:ind w:firstLine="204"/>
        <w:jc w:val="both"/>
      </w:pPr>
      <w:r w:rsidRPr="000F168D">
        <w:t xml:space="preserve">3.2. Az érzékeny és veszélyes termékek forgalmazására és felhasználására vonatkozó, az alábbiakban foglalt szabályok: </w:t>
      </w:r>
    </w:p>
    <w:p w14:paraId="7ABEA511" w14:textId="77777777" w:rsidR="00A612B8" w:rsidRPr="000F168D" w:rsidRDefault="00A612B8" w:rsidP="00A612B8">
      <w:pPr>
        <w:pStyle w:val="Bekezds"/>
        <w:ind w:firstLine="204"/>
        <w:jc w:val="both"/>
      </w:pPr>
      <w:r w:rsidRPr="000F168D">
        <w:t xml:space="preserve">3.2.1. Az Európai Parlament és a Tanács 2009/43/EK irányelve (2009. május 6.) a védelmi vonatkozású termékek Közösségen belüli transzferére vonatkozó feltételek egyszerűsítéséről </w:t>
      </w:r>
    </w:p>
    <w:p w14:paraId="7ECF8983" w14:textId="77777777" w:rsidR="00A612B8" w:rsidRPr="000F168D" w:rsidRDefault="00A612B8" w:rsidP="00A612B8">
      <w:pPr>
        <w:pStyle w:val="Bekezds"/>
        <w:ind w:firstLine="204"/>
        <w:jc w:val="both"/>
      </w:pPr>
      <w:r w:rsidRPr="000F168D">
        <w:t xml:space="preserve">3.2.2. A Tanács 91/477/EGK irányelve (1991. június 18.) a fegyverek megszerzésének és tartásának ellenőrzéséről </w:t>
      </w:r>
    </w:p>
    <w:p w14:paraId="7ADB6F08" w14:textId="77777777" w:rsidR="00A612B8" w:rsidRPr="000F168D" w:rsidRDefault="00A612B8" w:rsidP="00A612B8">
      <w:pPr>
        <w:pStyle w:val="Bekezds"/>
        <w:ind w:firstLine="204"/>
        <w:jc w:val="both"/>
      </w:pPr>
      <w:r w:rsidRPr="000F168D">
        <w:t xml:space="preserve">3.2.3. Az Európai Parlament és a Tanács 98/2013/EU rendelete (2013. január 15.) a robbanóanyag-prekurzorok forgalmazásáról és felhasználásáról </w:t>
      </w:r>
    </w:p>
    <w:p w14:paraId="4F3F7D44" w14:textId="77777777" w:rsidR="00A612B8" w:rsidRPr="000F168D" w:rsidRDefault="00A612B8" w:rsidP="00A612B8">
      <w:pPr>
        <w:pStyle w:val="Bekezds"/>
        <w:ind w:firstLine="204"/>
        <w:jc w:val="both"/>
        <w:rPr>
          <w:b/>
          <w:bCs/>
        </w:rPr>
      </w:pPr>
      <w:r w:rsidRPr="000F168D">
        <w:rPr>
          <w:b/>
          <w:bCs/>
        </w:rPr>
        <w:t xml:space="preserve">4. Közlekedésbiztonság </w:t>
      </w:r>
    </w:p>
    <w:p w14:paraId="51B5812E" w14:textId="77777777" w:rsidR="00A612B8" w:rsidRPr="000F168D" w:rsidRDefault="00A612B8" w:rsidP="00A612B8">
      <w:pPr>
        <w:pStyle w:val="Bekezds"/>
        <w:ind w:firstLine="204"/>
        <w:jc w:val="both"/>
      </w:pPr>
      <w:r w:rsidRPr="000F168D">
        <w:t xml:space="preserve">4.1. A vasúti ágazatnak a vasútbiztonságról szóló, 2016. május 11-i (EU) 2016/798 európai parlamenti és tanácsi irányelv által szabályozott biztonsági követelményei. </w:t>
      </w:r>
    </w:p>
    <w:p w14:paraId="3B2995A2" w14:textId="77777777" w:rsidR="00A612B8" w:rsidRPr="000F168D" w:rsidRDefault="00A612B8" w:rsidP="00A612B8">
      <w:pPr>
        <w:pStyle w:val="Bekezds"/>
        <w:ind w:firstLine="204"/>
        <w:jc w:val="both"/>
      </w:pPr>
      <w:r w:rsidRPr="000F168D">
        <w:t xml:space="preserve">4.2. A polgári légiközlekedési ágazatnak a polgári légiközlekedési balesetek és repülőesemények vizsgálatáról és megelőzéséről és a 94/56/EK irányelv hatályon kívül helyezéséről szóló, 2010. október 20-i 996/2010/EU európai parlamenti és tanácsi rendelet által szabályozott biztonsági követelményei. </w:t>
      </w:r>
    </w:p>
    <w:p w14:paraId="455E2C1C" w14:textId="77777777" w:rsidR="00A612B8" w:rsidRPr="000F168D" w:rsidRDefault="00A612B8" w:rsidP="00A612B8">
      <w:pPr>
        <w:pStyle w:val="Bekezds"/>
        <w:ind w:firstLine="204"/>
        <w:jc w:val="both"/>
      </w:pPr>
      <w:r w:rsidRPr="000F168D">
        <w:t xml:space="preserve">4.3. A közúti közlekedési ágazatnak az alábbiak által szabályozott biztonsági követelményei: </w:t>
      </w:r>
    </w:p>
    <w:p w14:paraId="48CF1A38" w14:textId="77777777" w:rsidR="00A612B8" w:rsidRPr="000F168D" w:rsidRDefault="00A612B8" w:rsidP="00A612B8">
      <w:pPr>
        <w:pStyle w:val="Bekezds"/>
        <w:ind w:firstLine="204"/>
        <w:jc w:val="both"/>
      </w:pPr>
      <w:r w:rsidRPr="000F168D">
        <w:t xml:space="preserve">4.3.1. Az Európai Parlament és a Tanács 2008/96/EK irányelve (2008. november 19.) a közúti infrastruktúra közlekedésbiztonsági kezeléséről </w:t>
      </w:r>
    </w:p>
    <w:p w14:paraId="4C2DAD56" w14:textId="77777777" w:rsidR="00A612B8" w:rsidRPr="000F168D" w:rsidRDefault="00A612B8" w:rsidP="00A612B8">
      <w:pPr>
        <w:pStyle w:val="Bekezds"/>
        <w:ind w:firstLine="204"/>
        <w:jc w:val="both"/>
      </w:pPr>
      <w:r w:rsidRPr="000F168D">
        <w:t xml:space="preserve">4.3.2. Az Európai Parlament és a Tanács 2004/54/EK irányelve (2004. április 29.) a transzeurópai közúthálózat alag-útjaira vonatkozó biztonsági minimumkövetelményekről </w:t>
      </w:r>
    </w:p>
    <w:p w14:paraId="0F5F91AA" w14:textId="77777777" w:rsidR="00A612B8" w:rsidRPr="000F168D" w:rsidRDefault="00A612B8" w:rsidP="00A612B8">
      <w:pPr>
        <w:pStyle w:val="Bekezds"/>
        <w:ind w:firstLine="204"/>
        <w:jc w:val="both"/>
      </w:pPr>
      <w:r w:rsidRPr="000F168D">
        <w:t xml:space="preserve">4.3.3. Az Európai Parlament és a Tanács 1071/2009/EK rendelete (2009. október 21.) a közúti fuvarozói szakma gyakorlására vonatkozó feltételek közös szabályainak megállapításáról és a 96/26/EK tanácsi irányelv hatályon kívül helyezéséről </w:t>
      </w:r>
    </w:p>
    <w:p w14:paraId="6063DCEE" w14:textId="77777777" w:rsidR="00A612B8" w:rsidRPr="000F168D" w:rsidRDefault="00A612B8" w:rsidP="00A612B8">
      <w:pPr>
        <w:pStyle w:val="Bekezds"/>
        <w:ind w:firstLine="204"/>
        <w:jc w:val="both"/>
      </w:pPr>
      <w:r w:rsidRPr="000F168D">
        <w:t xml:space="preserve">4.4. A tengeri közlekedési ágazatnak az alábbiak által szabályozott biztonsági követelményei: </w:t>
      </w:r>
    </w:p>
    <w:p w14:paraId="721F7CCF" w14:textId="77777777" w:rsidR="00A612B8" w:rsidRPr="000F168D" w:rsidRDefault="00A612B8" w:rsidP="00A612B8">
      <w:pPr>
        <w:pStyle w:val="Bekezds"/>
        <w:ind w:firstLine="204"/>
        <w:jc w:val="both"/>
      </w:pPr>
      <w:r w:rsidRPr="000F168D">
        <w:t xml:space="preserve">4.4.1. Az Európai Parlament és a Tanács 391/2009/EK rendelete (2009. április 23.) a hajófelügyeleti és hajóvizsgáló szervezetek közös szabályairól és szabványairól </w:t>
      </w:r>
    </w:p>
    <w:p w14:paraId="3D04160C" w14:textId="77777777" w:rsidR="00A612B8" w:rsidRPr="000F168D" w:rsidRDefault="00A612B8" w:rsidP="00A612B8">
      <w:pPr>
        <w:pStyle w:val="Bekezds"/>
        <w:ind w:firstLine="204"/>
        <w:jc w:val="both"/>
      </w:pPr>
      <w:r w:rsidRPr="000F168D">
        <w:t xml:space="preserve">4.4.2. Az Európai Parlament és a Tanács 392/2009/EK rendelete (2009. április 23.) a tengeri utasszállítók baleseti felelősségéről </w:t>
      </w:r>
    </w:p>
    <w:p w14:paraId="60CEA625" w14:textId="77777777" w:rsidR="00A612B8" w:rsidRPr="000F168D" w:rsidRDefault="00A612B8" w:rsidP="00A612B8">
      <w:pPr>
        <w:pStyle w:val="Bekezds"/>
        <w:ind w:firstLine="204"/>
        <w:jc w:val="both"/>
      </w:pPr>
      <w:r w:rsidRPr="000F168D">
        <w:t xml:space="preserve">4.4.3. Az Európai Parlament és a Tanács 2014/90/EU irányelve (2014. július 23.) a </w:t>
      </w:r>
      <w:r w:rsidRPr="000F168D">
        <w:lastRenderedPageBreak/>
        <w:t xml:space="preserve">tengerészeti felszerelésekről és a 96/98/EK tanácsi irányelv hatályon kívül helyezéséről </w:t>
      </w:r>
    </w:p>
    <w:p w14:paraId="72C8C6D5" w14:textId="77777777" w:rsidR="00A612B8" w:rsidRPr="000F168D" w:rsidRDefault="00A612B8" w:rsidP="00A612B8">
      <w:pPr>
        <w:pStyle w:val="Bekezds"/>
        <w:ind w:firstLine="204"/>
        <w:jc w:val="both"/>
      </w:pPr>
      <w:r w:rsidRPr="000F168D">
        <w:t xml:space="preserve">4.4.4. Az Európai Parlament és a Tanács 2009/18/EK irányelve (2009. április 23.) a tengeri szállítási ágazatban bekövetkező balesetek kivizsgálására irányadó alapelvek megállapításáról, valamint az 1999/35/EK tanácsi és a 2002/59/EK európai parlamenti és tanácsi irányelv módosításáról </w:t>
      </w:r>
    </w:p>
    <w:p w14:paraId="1B80E114" w14:textId="77777777" w:rsidR="00A612B8" w:rsidRPr="000F168D" w:rsidRDefault="00A612B8" w:rsidP="00A612B8">
      <w:pPr>
        <w:pStyle w:val="Bekezds"/>
        <w:ind w:firstLine="204"/>
        <w:jc w:val="both"/>
      </w:pPr>
      <w:r w:rsidRPr="000F168D">
        <w:t xml:space="preserve">4.4.5. Az Európai Parlament és a Tanács 2008/106/EK irányelve (2008. november 19.) a tengerészek képzésének minimumszintjéről </w:t>
      </w:r>
    </w:p>
    <w:p w14:paraId="3A476DF2" w14:textId="77777777" w:rsidR="00A612B8" w:rsidRPr="000F168D" w:rsidRDefault="00A612B8" w:rsidP="00A612B8">
      <w:pPr>
        <w:pStyle w:val="Bekezds"/>
        <w:ind w:firstLine="204"/>
        <w:jc w:val="both"/>
      </w:pPr>
      <w:r w:rsidRPr="000F168D">
        <w:t xml:space="preserve">4.4.6. A Tanács 98/41/EK irányelve (1998. június 18.) a Közösség tagállamainak kikötőibe érkező vagy onnan induló személyhajókon utazó személyek nyilvántartásáról </w:t>
      </w:r>
    </w:p>
    <w:p w14:paraId="6151A0CC" w14:textId="77777777" w:rsidR="00A612B8" w:rsidRPr="000F168D" w:rsidRDefault="00A612B8" w:rsidP="00A612B8">
      <w:pPr>
        <w:pStyle w:val="Bekezds"/>
        <w:ind w:firstLine="204"/>
        <w:jc w:val="both"/>
      </w:pPr>
      <w:r w:rsidRPr="000F168D">
        <w:t xml:space="preserve">4.4.7. Az Európai Parlament és a Tanács 2001/96/EK irányelve (2001. december 4.) az ömlesztettáru-szállító hajók biztonságos be- és kirakodására vonatkozó harmonizált követelmények és eljárások megállapításáról </w:t>
      </w:r>
    </w:p>
    <w:p w14:paraId="1392A1AE" w14:textId="77777777" w:rsidR="00A612B8" w:rsidRPr="000F168D" w:rsidRDefault="00A612B8" w:rsidP="00A612B8">
      <w:pPr>
        <w:pStyle w:val="Bekezds"/>
        <w:ind w:firstLine="204"/>
        <w:jc w:val="both"/>
      </w:pPr>
      <w:r w:rsidRPr="000F168D">
        <w:t xml:space="preserve">4.5. A veszélyes áruk szárazföldi szállításáról szóló, 2008. szeptember 24-i 2008/68/EK európai parlamenti és tanácsi irányelv által szabályozott biztonsági követelmények. </w:t>
      </w:r>
    </w:p>
    <w:p w14:paraId="7B515571" w14:textId="77777777" w:rsidR="00A612B8" w:rsidRPr="000F168D" w:rsidRDefault="00A612B8" w:rsidP="00A612B8">
      <w:pPr>
        <w:pStyle w:val="Bekezds"/>
        <w:ind w:firstLine="204"/>
        <w:jc w:val="both"/>
        <w:rPr>
          <w:b/>
          <w:bCs/>
        </w:rPr>
      </w:pPr>
      <w:r w:rsidRPr="000F168D">
        <w:rPr>
          <w:b/>
          <w:bCs/>
        </w:rPr>
        <w:t xml:space="preserve">5. Környezetvédelem </w:t>
      </w:r>
    </w:p>
    <w:p w14:paraId="7A47C9F5" w14:textId="77777777" w:rsidR="00A612B8" w:rsidRPr="000F168D" w:rsidRDefault="00A612B8" w:rsidP="00A612B8">
      <w:pPr>
        <w:pStyle w:val="Bekezds"/>
        <w:ind w:firstLine="204"/>
        <w:jc w:val="both"/>
      </w:pPr>
      <w:r w:rsidRPr="000F168D">
        <w:t xml:space="preserve">5.1. A környezetet fenyegető valamennyi bűncselekmény, amelyet a környezet büntetőjog általi védelméről szóló, 2008. november 19-i 2008/99/EK európai parlamenti és tanácsi irányelv szabályoz, vagy a 2008/99/EK irányelv mellékleteiben meghatározott jogszabályokat megszegő bármilyen jogellenes magatartás. </w:t>
      </w:r>
    </w:p>
    <w:p w14:paraId="2F1BAA3A" w14:textId="77777777" w:rsidR="00A612B8" w:rsidRPr="000F168D" w:rsidRDefault="00A612B8" w:rsidP="00A612B8">
      <w:pPr>
        <w:pStyle w:val="Bekezds"/>
        <w:ind w:firstLine="204"/>
        <w:jc w:val="both"/>
      </w:pPr>
      <w:r w:rsidRPr="000F168D">
        <w:t xml:space="preserve">5.2. A környezetre és az éghajlatra vonatkozó, az alábbiakban foglalt szabályok: </w:t>
      </w:r>
    </w:p>
    <w:p w14:paraId="535E2E0A" w14:textId="77777777" w:rsidR="00A612B8" w:rsidRPr="000F168D" w:rsidRDefault="00A612B8" w:rsidP="00A612B8">
      <w:pPr>
        <w:pStyle w:val="Bekezds"/>
        <w:ind w:firstLine="204"/>
        <w:jc w:val="both"/>
      </w:pPr>
      <w:r w:rsidRPr="000F168D">
        <w:t xml:space="preserve">5.2.1. Az Európai Parlament és a Tanács 2003/87/EK irányelve (2003. október 13.) az üvegházhatást okozó gázok kibocsátási egységei Közösségen belüli kereskedelmi rendszerének létrehozásáról és a 96/61/EK tanácsi irányelv módosításáról </w:t>
      </w:r>
    </w:p>
    <w:p w14:paraId="5F190D99" w14:textId="77777777" w:rsidR="00A612B8" w:rsidRPr="000F168D" w:rsidRDefault="00A612B8" w:rsidP="00A612B8">
      <w:pPr>
        <w:pStyle w:val="Bekezds"/>
        <w:ind w:firstLine="204"/>
        <w:jc w:val="both"/>
      </w:pPr>
      <w:r w:rsidRPr="000F168D">
        <w:t xml:space="preserve">5.2.2. Az Európai Parlament és a Tanács 2009/28/EK irányelve (2009. április 23.) a megújuló energiaforrásból előállított energia támogatásáról, valamint a 2001/77/EK és a 2003/30/EK irányelv módosításáról és azt követő hatályon kívül helyezéséről </w:t>
      </w:r>
    </w:p>
    <w:p w14:paraId="5F2B89DC" w14:textId="77777777" w:rsidR="00A612B8" w:rsidRPr="000F168D" w:rsidRDefault="00A612B8" w:rsidP="00A612B8">
      <w:pPr>
        <w:pStyle w:val="Bekezds"/>
        <w:ind w:firstLine="204"/>
        <w:jc w:val="both"/>
      </w:pPr>
      <w:r w:rsidRPr="000F168D">
        <w:t xml:space="preserve">5.2.3. Az Európai Parlament és a Tanács 2012/27/EU irányelve (2012. október 25.) az energiahatékonyságról, a 2009/125/EK és a 2010/30/EU irányelv módosításáról, valamint a 2004/8/EK és a 2006/32/EK irányelv hatályon kívül helyezéséről </w:t>
      </w:r>
    </w:p>
    <w:p w14:paraId="2454B09D" w14:textId="77777777" w:rsidR="00A612B8" w:rsidRPr="000F168D" w:rsidRDefault="00A612B8" w:rsidP="00A612B8">
      <w:pPr>
        <w:pStyle w:val="Bekezds"/>
        <w:ind w:firstLine="204"/>
        <w:jc w:val="both"/>
      </w:pPr>
      <w:r w:rsidRPr="000F168D">
        <w:t xml:space="preserve">5.2.4. az Európai Parlament és a Tanács 525/2013/EU rendelete (2013. május 21.) az üvegházhatást okozó gázok kibocsátásának nyomon követésére és bejelentésére, valamint az éghajlatváltozással kapcsolatos egyéb információk nemzeti és uniós szintű bejelentésére szolgáló rendszerről, valamint a 280/2004/EK határozat hatályon kívül helyezéséről </w:t>
      </w:r>
    </w:p>
    <w:p w14:paraId="60083BE5" w14:textId="77777777" w:rsidR="00A612B8" w:rsidRPr="000F168D" w:rsidRDefault="00A612B8" w:rsidP="00A612B8">
      <w:pPr>
        <w:pStyle w:val="Bekezds"/>
        <w:ind w:firstLine="204"/>
        <w:jc w:val="both"/>
      </w:pPr>
      <w:r w:rsidRPr="000F168D">
        <w:t xml:space="preserve">5.2.5. Az Európai Parlament és a Tanács (EU) 2018/2001 irányelve (2018. december 11.) a megújuló energiaforrásokból előállított energia használatának előmozdításáról </w:t>
      </w:r>
    </w:p>
    <w:p w14:paraId="36EE9742" w14:textId="77777777" w:rsidR="00A612B8" w:rsidRPr="000F168D" w:rsidRDefault="00A612B8" w:rsidP="00A612B8">
      <w:pPr>
        <w:pStyle w:val="Bekezds"/>
        <w:ind w:firstLine="204"/>
        <w:jc w:val="both"/>
      </w:pPr>
      <w:r w:rsidRPr="000F168D">
        <w:t xml:space="preserve">5.3. A fenntartható fejlődésre és a hulladékgazdálkodásra vonatkozó, az alábbiakban foglalt szabályok: </w:t>
      </w:r>
    </w:p>
    <w:p w14:paraId="7A2D9B5C" w14:textId="77777777" w:rsidR="00A612B8" w:rsidRPr="000F168D" w:rsidRDefault="00A612B8" w:rsidP="00A612B8">
      <w:pPr>
        <w:pStyle w:val="Bekezds"/>
        <w:ind w:firstLine="204"/>
        <w:jc w:val="both"/>
      </w:pPr>
      <w:r w:rsidRPr="000F168D">
        <w:t xml:space="preserve">5.3.1. Az Európai Parlament és a Tanács 2008/98/EK irányelve (2008. november 19.) a hulladékokról és egyes irányelvek hatályon kívül helyezéséről </w:t>
      </w:r>
    </w:p>
    <w:p w14:paraId="42AE1733" w14:textId="77777777" w:rsidR="00A612B8" w:rsidRPr="000F168D" w:rsidRDefault="00A612B8" w:rsidP="00A612B8">
      <w:pPr>
        <w:pStyle w:val="Bekezds"/>
        <w:ind w:firstLine="204"/>
        <w:jc w:val="both"/>
      </w:pPr>
      <w:r w:rsidRPr="000F168D">
        <w:t xml:space="preserve">5.3.2. Az Európai Parlament és a Tanács 1257/2013/EU rendelete (2013. november 20.) a hajók újrafeldolgozásáról, valamint az 1013/2006/EK rendelet és a 2009/16/EK irányelv módosításáról </w:t>
      </w:r>
    </w:p>
    <w:p w14:paraId="2BBCE641" w14:textId="77777777" w:rsidR="00A612B8" w:rsidRPr="000F168D" w:rsidRDefault="00A612B8" w:rsidP="00A612B8">
      <w:pPr>
        <w:pStyle w:val="Bekezds"/>
        <w:ind w:firstLine="204"/>
        <w:jc w:val="both"/>
      </w:pPr>
      <w:r w:rsidRPr="000F168D">
        <w:t xml:space="preserve">5.3.3. Az Európai Parlament és a Tanács 649/2012/EU rendelete (2012. július 4.) a veszélyes vegyi anyagok kiviteléről és behozataláról </w:t>
      </w:r>
    </w:p>
    <w:p w14:paraId="08DA2694" w14:textId="77777777" w:rsidR="00A612B8" w:rsidRPr="000F168D" w:rsidRDefault="00A612B8" w:rsidP="00A612B8">
      <w:pPr>
        <w:pStyle w:val="Bekezds"/>
        <w:ind w:firstLine="204"/>
        <w:jc w:val="both"/>
      </w:pPr>
      <w:r w:rsidRPr="000F168D">
        <w:t xml:space="preserve">5.4. A tenger-, levegő- és zajszennyezésre vonatkozó, az alábbiakban foglalt szabályok: </w:t>
      </w:r>
    </w:p>
    <w:p w14:paraId="3406C2E0" w14:textId="77777777" w:rsidR="00A612B8" w:rsidRPr="000F168D" w:rsidRDefault="00A612B8" w:rsidP="00A612B8">
      <w:pPr>
        <w:pStyle w:val="Bekezds"/>
        <w:ind w:firstLine="204"/>
        <w:jc w:val="both"/>
      </w:pPr>
      <w:r w:rsidRPr="000F168D">
        <w:t xml:space="preserve">5.4.1. Az Európai Parlament és a Tanács 1999/94/EK irányelve (1999. december 13.) az új személygépkocsik forgalmazása alkalmával a tüzelőanyag-fogyasztásról és CO2-kibocsátásról szóló vásárlói információk rendelkezésre állásáról </w:t>
      </w:r>
    </w:p>
    <w:p w14:paraId="026ECD51" w14:textId="77777777" w:rsidR="00A612B8" w:rsidRPr="000F168D" w:rsidRDefault="00A612B8" w:rsidP="00A612B8">
      <w:pPr>
        <w:pStyle w:val="Bekezds"/>
        <w:ind w:firstLine="204"/>
        <w:jc w:val="both"/>
      </w:pPr>
      <w:r w:rsidRPr="000F168D">
        <w:t xml:space="preserve">5.4.2. Az Európai Parlament és a Tanács 2001/81/EK irányelve (2001. október 23.) az egyes </w:t>
      </w:r>
      <w:r w:rsidRPr="000F168D">
        <w:lastRenderedPageBreak/>
        <w:t xml:space="preserve">légköri szennyezők nemzeti kibocsátási határértékeiről </w:t>
      </w:r>
    </w:p>
    <w:p w14:paraId="6FC749E8" w14:textId="77777777" w:rsidR="00A612B8" w:rsidRPr="000F168D" w:rsidRDefault="00A612B8" w:rsidP="00A612B8">
      <w:pPr>
        <w:pStyle w:val="Bekezds"/>
        <w:ind w:firstLine="204"/>
        <w:jc w:val="both"/>
      </w:pPr>
      <w:r w:rsidRPr="000F168D">
        <w:t xml:space="preserve">5.4.3. Az Európai Parlament és a Tanács 2002/49/EK irányelve (2002. június 25.) a környezeti zaj értékeléséről és kezeléséről </w:t>
      </w:r>
    </w:p>
    <w:p w14:paraId="4B6B2CF0" w14:textId="77777777" w:rsidR="00A612B8" w:rsidRPr="000F168D" w:rsidRDefault="00A612B8" w:rsidP="00A612B8">
      <w:pPr>
        <w:pStyle w:val="Bekezds"/>
        <w:ind w:firstLine="204"/>
        <w:jc w:val="both"/>
      </w:pPr>
      <w:r w:rsidRPr="000F168D">
        <w:t xml:space="preserve">5.4.4. Az Európai Parlament és a Tanács 782/2003/EK rendelete (2003. április 14.) a szerves ónvegyületek hajókon történő használatának tilalmáról </w:t>
      </w:r>
    </w:p>
    <w:p w14:paraId="69A7D411" w14:textId="77777777" w:rsidR="00A612B8" w:rsidRPr="000F168D" w:rsidRDefault="00A612B8" w:rsidP="00A612B8">
      <w:pPr>
        <w:pStyle w:val="Bekezds"/>
        <w:ind w:firstLine="204"/>
        <w:jc w:val="both"/>
      </w:pPr>
      <w:r w:rsidRPr="000F168D">
        <w:t xml:space="preserve">5.4.5. Az Európai Parlament és a Tanács 2004/35/EK irányelve (2004. április 21.) a környezeti károk megelőzése és felszámolása tekintetében a környezeti felelősségről </w:t>
      </w:r>
    </w:p>
    <w:p w14:paraId="667F8B0E" w14:textId="77777777" w:rsidR="00A612B8" w:rsidRPr="000F168D" w:rsidRDefault="00A612B8" w:rsidP="00A612B8">
      <w:pPr>
        <w:pStyle w:val="Bekezds"/>
        <w:ind w:firstLine="204"/>
        <w:jc w:val="both"/>
      </w:pPr>
      <w:r w:rsidRPr="000F168D">
        <w:t xml:space="preserve">5.4.6. Az Európai Parlament és a Tanács 2005/35/EK irányelve (2005. szeptember 7.) a hajók által okozott szennyezésről és a jogsértésekre alkalmazandó szankciók bevezetéséről </w:t>
      </w:r>
    </w:p>
    <w:p w14:paraId="46069418" w14:textId="77777777" w:rsidR="00A612B8" w:rsidRPr="000F168D" w:rsidRDefault="00A612B8" w:rsidP="00A612B8">
      <w:pPr>
        <w:pStyle w:val="Bekezds"/>
        <w:ind w:firstLine="204"/>
        <w:jc w:val="both"/>
      </w:pPr>
      <w:r w:rsidRPr="000F168D">
        <w:t xml:space="preserve">5.4.7. Az Európai Parlament és a Tanács 166/2006/EK rendelete (2006. január 18.) az Európai szennyező anyagkibocsátási és -szállítási Nyilvántartás létrehozásáról, valamint a 91/689/EGK és a 96/61/EK tanácsi irányelv módosításáról </w:t>
      </w:r>
    </w:p>
    <w:p w14:paraId="056C27CD" w14:textId="77777777" w:rsidR="00A612B8" w:rsidRPr="000F168D" w:rsidRDefault="00A612B8" w:rsidP="00A612B8">
      <w:pPr>
        <w:pStyle w:val="Bekezds"/>
        <w:ind w:firstLine="204"/>
        <w:jc w:val="both"/>
      </w:pPr>
      <w:r w:rsidRPr="000F168D">
        <w:t xml:space="preserve">5.4.8. Az Európai Parlament és a Tanács 2009/33/EK irányelve (2009. április 23.) a tiszta és energiahatékony közúti járművek használatának előmozdításáról </w:t>
      </w:r>
    </w:p>
    <w:p w14:paraId="213F971A" w14:textId="77777777" w:rsidR="00A612B8" w:rsidRPr="000F168D" w:rsidRDefault="00A612B8" w:rsidP="00A612B8">
      <w:pPr>
        <w:pStyle w:val="Bekezds"/>
        <w:ind w:firstLine="204"/>
        <w:jc w:val="both"/>
      </w:pPr>
      <w:r w:rsidRPr="000F168D">
        <w:t xml:space="preserve">5.4.9. Az Európai Parlament és a Tanács 443/2009/EK rendelete (2009. április 23.) a könnyű haszongépjárművek szén-dioxid-kibocsátásának csökkentésére irányuló közösségi integrált megközelítés keretében az új személygépkocsikra vonatkozó kibocsátási követelmények meghatározásáról </w:t>
      </w:r>
    </w:p>
    <w:p w14:paraId="1F9479B1" w14:textId="77777777" w:rsidR="00A612B8" w:rsidRPr="000F168D" w:rsidRDefault="00A612B8" w:rsidP="00A612B8">
      <w:pPr>
        <w:pStyle w:val="Bekezds"/>
        <w:ind w:firstLine="204"/>
        <w:jc w:val="both"/>
      </w:pPr>
      <w:r w:rsidRPr="000F168D">
        <w:t xml:space="preserve">5.4.10. Az Európai Parlament és a Tanács 1005/2009/EK rendelete (2009. szeptember 16.) az ózonréteget lebontó anyagokról </w:t>
      </w:r>
    </w:p>
    <w:p w14:paraId="1E0D4C73" w14:textId="77777777" w:rsidR="00A612B8" w:rsidRPr="000F168D" w:rsidRDefault="00A612B8" w:rsidP="00A612B8">
      <w:pPr>
        <w:pStyle w:val="Bekezds"/>
        <w:ind w:firstLine="204"/>
        <w:jc w:val="both"/>
      </w:pPr>
      <w:r w:rsidRPr="000F168D">
        <w:t xml:space="preserve">5.4.11. Az Európai Parlament és a Tanács 2009/126/EK irányelve (2009. október 21.) a gépjárművek töltőállomásokon történő üzemanyag-feltöltésekor kibocsátott benzingőz II. fázisú visszanyeréséről </w:t>
      </w:r>
    </w:p>
    <w:p w14:paraId="7F3AA6C0" w14:textId="77777777" w:rsidR="00A612B8" w:rsidRPr="000F168D" w:rsidRDefault="00A612B8" w:rsidP="00A612B8">
      <w:pPr>
        <w:pStyle w:val="Bekezds"/>
        <w:ind w:firstLine="204"/>
        <w:jc w:val="both"/>
      </w:pPr>
      <w:r w:rsidRPr="000F168D">
        <w:t xml:space="preserve">5.4.12. Az Európai Parlament és a Tanács 510/2011/EU rendelete (2011. május 11.) az új könnyű haszongépjárművekre vonatkozó kibocsátási követelményeknek a könnyű haszongépjárművek CO2-kibocsátásának csökkentésére irányuló uniós integrált megközelítés keretében történő meghatározásáról (HL L 145., 2011.5.31., 1. o.); </w:t>
      </w:r>
    </w:p>
    <w:p w14:paraId="081BFED4" w14:textId="77777777" w:rsidR="00A612B8" w:rsidRPr="000F168D" w:rsidRDefault="00A612B8" w:rsidP="00A612B8">
      <w:pPr>
        <w:pStyle w:val="Bekezds"/>
        <w:ind w:firstLine="204"/>
        <w:jc w:val="both"/>
      </w:pPr>
      <w:r w:rsidRPr="000F168D">
        <w:t xml:space="preserve">5.4.13. Az Európai Parlament és a Tanács 2014/94/EU irányelve (2014. október 22.) az alternatív üzemanyagok infrastruktúrájának kiépítéséről </w:t>
      </w:r>
    </w:p>
    <w:p w14:paraId="350BADDC" w14:textId="77777777" w:rsidR="00A612B8" w:rsidRPr="000F168D" w:rsidRDefault="00A612B8" w:rsidP="00A612B8">
      <w:pPr>
        <w:pStyle w:val="Bekezds"/>
        <w:ind w:firstLine="204"/>
        <w:jc w:val="both"/>
      </w:pPr>
      <w:r w:rsidRPr="000F168D">
        <w:t xml:space="preserve">5.4.14. Az Európai Parlament és a Tanács (EU) 2015/757 rendelete (2015. április 29.) a tengeri közlekedésből eredő szén-dioxid-kibocsátások nyomonkövetéséről, jelentéséről és hitelesítéséről, valamint a 2009/16/EK irányelv módosításáról </w:t>
      </w:r>
    </w:p>
    <w:p w14:paraId="1C199628" w14:textId="77777777" w:rsidR="00A612B8" w:rsidRPr="000F168D" w:rsidRDefault="00A612B8" w:rsidP="00A612B8">
      <w:pPr>
        <w:pStyle w:val="Bekezds"/>
        <w:ind w:firstLine="204"/>
        <w:jc w:val="both"/>
      </w:pPr>
      <w:r w:rsidRPr="000F168D">
        <w:t xml:space="preserve">5.4.15. Az Európai Parlament és a Tanács (EU) 2015/2193 irányelve (2015. november 25.) a közepes tüzelőberendezésekből származó egyes szennyező anyagok levegőbe történő kibocsátásának korlátozásáról </w:t>
      </w:r>
    </w:p>
    <w:p w14:paraId="1CA25014" w14:textId="77777777" w:rsidR="00A612B8" w:rsidRPr="000F168D" w:rsidRDefault="00A612B8" w:rsidP="00A612B8">
      <w:pPr>
        <w:pStyle w:val="Bekezds"/>
        <w:ind w:firstLine="204"/>
        <w:jc w:val="both"/>
      </w:pPr>
      <w:r w:rsidRPr="000F168D">
        <w:t xml:space="preserve">5.5. A víz- és talajvédelemre és -gazdálkodásra vonatkozó, az alábbiakban foglalt szabályok: </w:t>
      </w:r>
    </w:p>
    <w:p w14:paraId="19E6D70D" w14:textId="77777777" w:rsidR="00A612B8" w:rsidRPr="000F168D" w:rsidRDefault="00A612B8" w:rsidP="00A612B8">
      <w:pPr>
        <w:pStyle w:val="Bekezds"/>
        <w:ind w:firstLine="204"/>
        <w:jc w:val="both"/>
      </w:pPr>
      <w:r w:rsidRPr="000F168D">
        <w:t xml:space="preserve">5.5.1. Az Európai Parlament és a Tanács 2007/60/EK irányelve (2007. október 23.) az árvízkockázatok értékeléséről és kezeléséről </w:t>
      </w:r>
    </w:p>
    <w:p w14:paraId="47D4C1A6" w14:textId="77777777" w:rsidR="00A612B8" w:rsidRPr="000F168D" w:rsidRDefault="00A612B8" w:rsidP="00A612B8">
      <w:pPr>
        <w:pStyle w:val="Bekezds"/>
        <w:ind w:firstLine="204"/>
        <w:jc w:val="both"/>
      </w:pPr>
      <w:r w:rsidRPr="000F168D">
        <w:t xml:space="preserve">5.5.2. Az Európai Parlament és a Tanács 2008/105/EK irányelve (2008. december 16.) a vízpolitika területén a környezetminőségi előírásokról, a 82/176/EGK, a 83/513/EGK, a 84/156/EGK, a 84/491/EGK és a 86/280/EGK tanácsi irányelv módosításáról és azt követő hatályon kívül helyezéséről, valamint a 2000/60/EK európai parlamenti és tanácsi irányelv módosításáról </w:t>
      </w:r>
    </w:p>
    <w:p w14:paraId="4815D26C" w14:textId="77777777" w:rsidR="00A612B8" w:rsidRPr="000F168D" w:rsidRDefault="00A612B8" w:rsidP="00A612B8">
      <w:pPr>
        <w:pStyle w:val="Bekezds"/>
        <w:ind w:firstLine="204"/>
        <w:jc w:val="both"/>
      </w:pPr>
      <w:r w:rsidRPr="000F168D">
        <w:t xml:space="preserve">5.5.3. Az Európai Parlament és a Tanács 2011/92/EU irányelve (2011. december 13.) az egyes köz- és magánprojektek környezetre gyakorolt hatásainak vizsgálatáról </w:t>
      </w:r>
    </w:p>
    <w:p w14:paraId="08366044" w14:textId="77777777" w:rsidR="00A612B8" w:rsidRPr="000F168D" w:rsidRDefault="00A612B8" w:rsidP="00A612B8">
      <w:pPr>
        <w:pStyle w:val="Bekezds"/>
        <w:ind w:firstLine="204"/>
        <w:jc w:val="both"/>
      </w:pPr>
      <w:r w:rsidRPr="000F168D">
        <w:t xml:space="preserve">5.6. A természet és a biológiai sokféleség védelmére vonatkozó, az alábbiakban foglalt szabályok: </w:t>
      </w:r>
    </w:p>
    <w:p w14:paraId="2917BAD1" w14:textId="77777777" w:rsidR="00A612B8" w:rsidRPr="000F168D" w:rsidRDefault="00A612B8" w:rsidP="00A612B8">
      <w:pPr>
        <w:pStyle w:val="Bekezds"/>
        <w:ind w:firstLine="204"/>
        <w:jc w:val="both"/>
      </w:pPr>
      <w:r w:rsidRPr="000F168D">
        <w:t xml:space="preserve">5.6.1. A Tanács 1936/2001/EK rendelete (2001. szeptember 27.) a hosszú távon vándorló halfajok bizonyos állományainak halászatára vonatkozó ellenőrzési intézkedések </w:t>
      </w:r>
      <w:r w:rsidRPr="000F168D">
        <w:lastRenderedPageBreak/>
        <w:t xml:space="preserve">megállapításáról </w:t>
      </w:r>
    </w:p>
    <w:p w14:paraId="0E669A8D" w14:textId="77777777" w:rsidR="00A612B8" w:rsidRPr="000F168D" w:rsidRDefault="00A612B8" w:rsidP="00A612B8">
      <w:pPr>
        <w:pStyle w:val="Bekezds"/>
        <w:ind w:firstLine="204"/>
        <w:jc w:val="both"/>
      </w:pPr>
      <w:r w:rsidRPr="000F168D">
        <w:t xml:space="preserve">5.6.2. A Tanács 812/2004/EK rendelete (2004. április 26.) a cetfélék halászat során történő véletlenszerű kifogásával kapcsolatos intézkedések megállapításáról és a 88/98/EK rendelet módosításáról </w:t>
      </w:r>
    </w:p>
    <w:p w14:paraId="1143D6A9" w14:textId="77777777" w:rsidR="00A612B8" w:rsidRPr="000F168D" w:rsidRDefault="00A612B8" w:rsidP="00A612B8">
      <w:pPr>
        <w:pStyle w:val="Bekezds"/>
        <w:ind w:firstLine="204"/>
        <w:jc w:val="both"/>
      </w:pPr>
      <w:r w:rsidRPr="000F168D">
        <w:t xml:space="preserve">5.6.3. Az Európai Parlament és a Tanács 1007/2009/EK rendelete (2009. szeptember 16.) a fókatermékek kereskedelméről </w:t>
      </w:r>
    </w:p>
    <w:p w14:paraId="728ED726" w14:textId="77777777" w:rsidR="00A612B8" w:rsidRPr="000F168D" w:rsidRDefault="00A612B8" w:rsidP="00A612B8">
      <w:pPr>
        <w:pStyle w:val="Bekezds"/>
        <w:ind w:firstLine="204"/>
        <w:jc w:val="both"/>
      </w:pPr>
      <w:r w:rsidRPr="000F168D">
        <w:t xml:space="preserve">5.6.4. A Tanács 734/2008/EK rendelete (2008. július 15.) a veszélyeztetett nyílt tengeri ökoszisztémáknak a fenékhalászati eszközök káros hatásával szembeni védelméről </w:t>
      </w:r>
    </w:p>
    <w:p w14:paraId="6CE0D120" w14:textId="77777777" w:rsidR="00A612B8" w:rsidRPr="000F168D" w:rsidRDefault="00A612B8" w:rsidP="00A612B8">
      <w:pPr>
        <w:pStyle w:val="Bekezds"/>
        <w:ind w:firstLine="204"/>
        <w:jc w:val="both"/>
      </w:pPr>
      <w:r w:rsidRPr="000F168D">
        <w:t xml:space="preserve">5.6.5. Az Európai Parlament és a Tanács 2009/147/EK irányelve (2009. november 30.) a vadon élő madarak védelméről </w:t>
      </w:r>
    </w:p>
    <w:p w14:paraId="07C3B070" w14:textId="77777777" w:rsidR="00A612B8" w:rsidRPr="000F168D" w:rsidRDefault="00A612B8" w:rsidP="00A612B8">
      <w:pPr>
        <w:pStyle w:val="Bekezds"/>
        <w:ind w:firstLine="204"/>
        <w:jc w:val="both"/>
      </w:pPr>
      <w:r w:rsidRPr="000F168D">
        <w:t xml:space="preserve">5.6.6. Az Európai Parlament és a Tanács 995/2010/EU rendelete (2010. október 20.) a fát és fatermékeket piaci forgalomba bocsátó piaci szereplők kötelezettségeinek meghatározásáról </w:t>
      </w:r>
    </w:p>
    <w:p w14:paraId="79547D3E" w14:textId="77777777" w:rsidR="00A612B8" w:rsidRPr="000F168D" w:rsidRDefault="00A612B8" w:rsidP="00A612B8">
      <w:pPr>
        <w:pStyle w:val="Bekezds"/>
        <w:ind w:firstLine="204"/>
        <w:jc w:val="both"/>
      </w:pPr>
      <w:r w:rsidRPr="000F168D">
        <w:t xml:space="preserve">5.6.7. Az Európai Parlament és a Tanács 1143/2014/EU rendelete (2014. október 22.) az idegenhonos inváziós fajok betelepítésének vagy behurcolásának és terjedésének megelőzéséről és kezeléséről </w:t>
      </w:r>
    </w:p>
    <w:p w14:paraId="3955BB72" w14:textId="77777777" w:rsidR="00A612B8" w:rsidRPr="000F168D" w:rsidRDefault="00A612B8" w:rsidP="00A612B8">
      <w:pPr>
        <w:pStyle w:val="Bekezds"/>
        <w:ind w:firstLine="204"/>
        <w:jc w:val="both"/>
      </w:pPr>
      <w:r w:rsidRPr="000F168D">
        <w:t xml:space="preserve">5.7. Vegyi anyagokra vonatkozó, a vegyi anyagok regisztrálásáról, értékeléséről, engedélyezéséről és korlátozásáról (REACH), az Európai Vegyianyag-ügynökség létrehozásáról, az 1999/45/EK irányelv módosításáról, valamint a 793/93/EGK tanácsi rendelet, az 1488/94/EK bizottsági rendelet, a 76/769/EGK tanácsi irányelv, a 91/155/EGK, a 93/67/EGK, a 93/105/EK és a 2000/21/EK bizottsági irányelv hatályon kívül helyezéséről szóló, 2006. december 18-i 1907/2006/EK európai parlamenti és tanácsi rendeletben foglalt szabályok. </w:t>
      </w:r>
    </w:p>
    <w:p w14:paraId="2904CB13" w14:textId="77777777" w:rsidR="00A612B8" w:rsidRPr="000F168D" w:rsidRDefault="00A612B8" w:rsidP="00A612B8">
      <w:pPr>
        <w:pStyle w:val="Bekezds"/>
        <w:ind w:firstLine="204"/>
        <w:jc w:val="both"/>
      </w:pPr>
      <w:r w:rsidRPr="000F168D">
        <w:t xml:space="preserve">5.8. Az ökológiai termékekre vonatkozó, az ökológiai termelésről és az ökológiai termékek jelöléséről, valamint a 834/2007/EK tanácsi rendelet hatályon kívül helyezéséről szóló, 2018. május 30-i (EU) 2018/848 európai parlamenti és tanácsi rendeletben foglalt szabályok. </w:t>
      </w:r>
    </w:p>
    <w:p w14:paraId="37EF5665" w14:textId="77777777" w:rsidR="00A612B8" w:rsidRPr="000F168D" w:rsidRDefault="00A612B8" w:rsidP="00A612B8">
      <w:pPr>
        <w:pStyle w:val="Bekezds"/>
        <w:ind w:firstLine="204"/>
        <w:jc w:val="both"/>
        <w:rPr>
          <w:b/>
          <w:bCs/>
        </w:rPr>
      </w:pPr>
      <w:r w:rsidRPr="000F168D">
        <w:rPr>
          <w:b/>
          <w:bCs/>
        </w:rPr>
        <w:t xml:space="preserve">6. Sugárvédelem és nukleáris biztonság </w:t>
      </w:r>
    </w:p>
    <w:p w14:paraId="73D226E5" w14:textId="77777777" w:rsidR="00A612B8" w:rsidRPr="000F168D" w:rsidRDefault="00A612B8" w:rsidP="00A612B8">
      <w:pPr>
        <w:pStyle w:val="Bekezds"/>
        <w:ind w:firstLine="204"/>
        <w:jc w:val="both"/>
      </w:pPr>
      <w:r w:rsidRPr="000F168D">
        <w:t xml:space="preserve">A nukleáris biztonságra vonatkozó, az alábbiakban foglalt szabályok: </w:t>
      </w:r>
    </w:p>
    <w:p w14:paraId="602B26F6" w14:textId="77777777" w:rsidR="00A612B8" w:rsidRPr="000F168D" w:rsidRDefault="00A612B8" w:rsidP="00A612B8">
      <w:pPr>
        <w:pStyle w:val="Bekezds"/>
        <w:ind w:firstLine="204"/>
        <w:jc w:val="both"/>
      </w:pPr>
      <w:r w:rsidRPr="000F168D">
        <w:t xml:space="preserve">6.1. A Tanács 2009/71/Euratom irányelve (2009. június 25.) a nukleáris létesítmények nukleáris biztonsági közösségi keretrendszerének létrehozásáról </w:t>
      </w:r>
    </w:p>
    <w:p w14:paraId="72828A4C" w14:textId="77777777" w:rsidR="00A612B8" w:rsidRPr="000F168D" w:rsidRDefault="00A612B8" w:rsidP="00A612B8">
      <w:pPr>
        <w:pStyle w:val="Bekezds"/>
        <w:ind w:firstLine="204"/>
        <w:jc w:val="both"/>
      </w:pPr>
      <w:r w:rsidRPr="000F168D">
        <w:t xml:space="preserve">6.2. A Tanács 2013/51/Euratom irányelve (2013. október 22.) a lakosság egészségének az emberi fogyasztásra szánt vízben található radioaktív anyagokkal szembeni védelmére vonatkozó követelmények meghatározásáról </w:t>
      </w:r>
    </w:p>
    <w:p w14:paraId="15008B22" w14:textId="77777777" w:rsidR="00A612B8" w:rsidRPr="000F168D" w:rsidRDefault="00A612B8" w:rsidP="00A612B8">
      <w:pPr>
        <w:pStyle w:val="Bekezds"/>
        <w:ind w:firstLine="204"/>
        <w:jc w:val="both"/>
      </w:pPr>
      <w:r w:rsidRPr="000F168D">
        <w:t xml:space="preserve">6.3. A Tanács 2013/59/Euratom irányelve (2013. december 5.) az ionizáló sugárzás miatti sugárterhelésből származó veszélyekkel szembeni védelmet szolgáló alapvető biztonsági előírások megállapításáról, valamint a 89/618/Euratom, a 90/641/Euratom, a 96/29/Euratom, a 97/43/Euratom és a 2003/122/Euratom irányelv hatályon kívül helyezéséről </w:t>
      </w:r>
    </w:p>
    <w:p w14:paraId="50E66534" w14:textId="77777777" w:rsidR="00A612B8" w:rsidRPr="000F168D" w:rsidRDefault="00A612B8" w:rsidP="00A612B8">
      <w:pPr>
        <w:pStyle w:val="Bekezds"/>
        <w:ind w:firstLine="204"/>
        <w:jc w:val="both"/>
      </w:pPr>
      <w:r w:rsidRPr="000F168D">
        <w:t xml:space="preserve">6.4. A Tanács 2011/70/Euratom irányelve (2011. július 19.) a kiégett fűtőelemek és a radioaktív hulladékok felelősségteljes és biztonságos kezelését szolgáló közösségi keret létrehozásáról </w:t>
      </w:r>
    </w:p>
    <w:p w14:paraId="31C54B2A" w14:textId="77777777" w:rsidR="00A612B8" w:rsidRPr="000F168D" w:rsidRDefault="00A612B8" w:rsidP="00A612B8">
      <w:pPr>
        <w:pStyle w:val="Bekezds"/>
        <w:ind w:firstLine="204"/>
        <w:jc w:val="both"/>
      </w:pPr>
      <w:r w:rsidRPr="000F168D">
        <w:t xml:space="preserve">6.5. A Tanács 2006/117/Euratom irányelve (2006. november 20.) a radioaktív hulladékok és a kiégett fűtőelemek szállításának felügyeletéről és ellenőrzéséről </w:t>
      </w:r>
    </w:p>
    <w:p w14:paraId="78E16AD6" w14:textId="77777777" w:rsidR="00A612B8" w:rsidRPr="000F168D" w:rsidRDefault="00A612B8" w:rsidP="00A612B8">
      <w:pPr>
        <w:pStyle w:val="Bekezds"/>
        <w:ind w:firstLine="204"/>
        <w:jc w:val="both"/>
      </w:pPr>
      <w:r w:rsidRPr="000F168D">
        <w:t xml:space="preserve">6.6. A Tanács (Euratom) 2016/52 rendelete (2016. január 15.) a nukleáris balesetet vagy egyéb radiológiai veszélyhelyzetet követően az élelmiszerek és a takarmányok radioaktív szennyezettsége maximális megengedett szintjeinek megállapításáról, valamint a 3954/87/Euratom rendelet, a 944/89/Euratom bizottsági rendelet és a 770/90/Euratom bizottsági rendelet hatályon kívül helyezéséről </w:t>
      </w:r>
    </w:p>
    <w:p w14:paraId="7ACC991C" w14:textId="77777777" w:rsidR="00A612B8" w:rsidRPr="000F168D" w:rsidRDefault="00A612B8" w:rsidP="00A612B8">
      <w:pPr>
        <w:pStyle w:val="Bekezds"/>
        <w:ind w:firstLine="204"/>
        <w:jc w:val="both"/>
      </w:pPr>
      <w:r w:rsidRPr="000F168D">
        <w:t xml:space="preserve">6.7. A Tanács 1493/93/Euratom rendelete (1993. június 8.) a radioaktív anyagok tagállamok közötti szállításáról </w:t>
      </w:r>
    </w:p>
    <w:p w14:paraId="161AD3AA" w14:textId="77777777" w:rsidR="00A612B8" w:rsidRPr="000F168D" w:rsidRDefault="00A612B8" w:rsidP="00A612B8">
      <w:pPr>
        <w:pStyle w:val="Bekezds"/>
        <w:ind w:firstLine="204"/>
        <w:jc w:val="both"/>
        <w:rPr>
          <w:b/>
          <w:bCs/>
        </w:rPr>
      </w:pPr>
      <w:r w:rsidRPr="000F168D">
        <w:rPr>
          <w:b/>
          <w:bCs/>
        </w:rPr>
        <w:t xml:space="preserve">7. Élelmiszer- és takarmánybiztonság, valamint állategészségügy és állatjólét </w:t>
      </w:r>
    </w:p>
    <w:p w14:paraId="1E36EA6A" w14:textId="77777777" w:rsidR="00A612B8" w:rsidRPr="000F168D" w:rsidRDefault="00A612B8" w:rsidP="00A612B8">
      <w:pPr>
        <w:pStyle w:val="Bekezds"/>
        <w:ind w:firstLine="204"/>
        <w:jc w:val="both"/>
      </w:pPr>
      <w:r w:rsidRPr="000F168D">
        <w:lastRenderedPageBreak/>
        <w:t xml:space="preserve">7.1. Az élelmiszerjog általános elveiről és követelményeiről, az Európai Élelmiszerbiztonsági Hatóság létrehozásáról és az élelmiszerbiztonságra vonatkozó eljárások megállapításáról szóló, 2002. január 28-i 178/2002/EK európai parlamenti és tanácsi rendeletben meghatározott általános alapelvek és követelmények által szabályozott uniós élelmiszer- és takarmányjog. </w:t>
      </w:r>
    </w:p>
    <w:p w14:paraId="3BCBAD30" w14:textId="77777777" w:rsidR="00A612B8" w:rsidRPr="000F168D" w:rsidRDefault="00A612B8" w:rsidP="00A612B8">
      <w:pPr>
        <w:pStyle w:val="Bekezds"/>
        <w:ind w:firstLine="204"/>
        <w:jc w:val="both"/>
      </w:pPr>
      <w:r w:rsidRPr="000F168D">
        <w:t xml:space="preserve">7.2. Az alábbiak által szabályozott állategészségügy: </w:t>
      </w:r>
    </w:p>
    <w:p w14:paraId="0FBFEB9F" w14:textId="77777777" w:rsidR="00A612B8" w:rsidRPr="000F168D" w:rsidRDefault="00A612B8" w:rsidP="00A612B8">
      <w:pPr>
        <w:pStyle w:val="Bekezds"/>
        <w:ind w:firstLine="204"/>
        <w:jc w:val="both"/>
      </w:pPr>
      <w:r w:rsidRPr="000F168D">
        <w:t xml:space="preserve">7.2.1. Az Európai Parlament és a Tanács (EU) 2016/429 rendelete (2016. március 9.) a fertőző állatbetegségekről és egyes állat-egészségügyi jogi aktusok módosításáról és hatályon kívül helyezéséről („Állat-egészségügyi rendelet”) </w:t>
      </w:r>
    </w:p>
    <w:p w14:paraId="50BEFCCA" w14:textId="77777777" w:rsidR="00A612B8" w:rsidRPr="000F168D" w:rsidRDefault="00A612B8" w:rsidP="00A612B8">
      <w:pPr>
        <w:pStyle w:val="Bekezds"/>
        <w:ind w:firstLine="204"/>
        <w:jc w:val="both"/>
      </w:pPr>
      <w:r w:rsidRPr="000F168D">
        <w:t xml:space="preserve">7.2.2. Az Európai Parlament és a Tanács 1069/2009/EK rendelete (2009. október 21.) a nem emberi fogyasztásra szánt állati melléktermékekre és a belőlük származó termékekre vonatkozó egészségügyi szabályok megállapításáról és az 1774/2002/EK rendelet hatályon kívül helyezéséről (állati melléktermékekre vonatkozó rendelet) </w:t>
      </w:r>
    </w:p>
    <w:p w14:paraId="49F4BCE8" w14:textId="77777777" w:rsidR="00A612B8" w:rsidRPr="000F168D" w:rsidRDefault="00A612B8" w:rsidP="00A612B8">
      <w:pPr>
        <w:pStyle w:val="Bekezds"/>
        <w:ind w:firstLine="204"/>
        <w:jc w:val="both"/>
      </w:pPr>
      <w:r w:rsidRPr="000F168D">
        <w:t xml:space="preserve">7.3. Az Európai Parlament és a Tanács (EU) 2017/625 rendelete (2017. március 15.) az élelmiszer- és takarmányjog, valamint az állategészségügyi és állatjóléti szabályok, a növényegészségügyi szabályok, és a növényvédő szerekre vonatkozó szabályok alkalmazásának biztosítása céljából végzett hatósági ellenőrzésekről és más hatósági tevékenységekről, továbbá a 999/2001/EK, a 396/2005/EK, az 1069/2009/EK, az 1107/2009/EK, az 1151/2012/EU, a 652/2014/EU, az (EU) 2016/429 és az (EU) 2016/2031 európai parlamenti és tanácsi rendelet, az 1/2005/EK és az 1099/2009/EK tanácsi rendelet, valamint a 98/58/EK, az 1999/74/EK, a 2007/43/EK, a 2008/119/EK és a 2008/120/EK tanácsi irányelv módosításáról, és a 854/2004/EK és a 882/2004/EK európai parlamenti és tanácsi rendelet, a 89/608/EGK, a 89/662/EGK, a 90/425/EGK, a 91/496/EGK, a 96/23/EK, a 96/93/EK és a 97/78/EK tanácsi irányelv és a 92/438/EGK tanácsi határozat hatályon kívül helyezéséről (a hatósági ellenőrzésekről szóló rendelet) </w:t>
      </w:r>
    </w:p>
    <w:p w14:paraId="4CFFDCDC" w14:textId="77777777" w:rsidR="00A612B8" w:rsidRPr="000F168D" w:rsidRDefault="00A612B8" w:rsidP="00A612B8">
      <w:pPr>
        <w:pStyle w:val="Bekezds"/>
        <w:ind w:firstLine="204"/>
        <w:jc w:val="both"/>
      </w:pPr>
      <w:r w:rsidRPr="000F168D">
        <w:t xml:space="preserve">7.4. Az állatok védelmére és jólétére vonatkozó, az alábbiakban foglalt szabályok és előírások: </w:t>
      </w:r>
    </w:p>
    <w:p w14:paraId="0EC8AFD4" w14:textId="77777777" w:rsidR="00A612B8" w:rsidRPr="000F168D" w:rsidRDefault="00A612B8" w:rsidP="00A612B8">
      <w:pPr>
        <w:pStyle w:val="Bekezds"/>
        <w:ind w:firstLine="204"/>
        <w:jc w:val="both"/>
      </w:pPr>
      <w:r w:rsidRPr="000F168D">
        <w:t xml:space="preserve">7.4.1. A Tanács 98/58/EK irányelve (1998. július 20.) a mezőgazdasági termelés céljából tartott állatok védelméről </w:t>
      </w:r>
    </w:p>
    <w:p w14:paraId="440E0B91" w14:textId="77777777" w:rsidR="00A612B8" w:rsidRPr="000F168D" w:rsidRDefault="00A612B8" w:rsidP="00A612B8">
      <w:pPr>
        <w:pStyle w:val="Bekezds"/>
        <w:ind w:firstLine="204"/>
        <w:jc w:val="both"/>
      </w:pPr>
      <w:r w:rsidRPr="000F168D">
        <w:t xml:space="preserve">7.4.2. A Tanács 1/2005/EK rendelete (2004. december 22.) az állatoknak a szállítás és a kapcsolódó műveletek közbeni védelméről, valamint a 64/432/EGK és a 93/119/EK irányelv és az 1255/97/EK rendelet módosításáról </w:t>
      </w:r>
    </w:p>
    <w:p w14:paraId="69DE9250" w14:textId="77777777" w:rsidR="00A612B8" w:rsidRPr="000F168D" w:rsidRDefault="00A612B8" w:rsidP="00A612B8">
      <w:pPr>
        <w:pStyle w:val="Bekezds"/>
        <w:ind w:firstLine="204"/>
        <w:jc w:val="both"/>
      </w:pPr>
      <w:r w:rsidRPr="000F168D">
        <w:t xml:space="preserve">7.4.3. A Tanács 1099/2009/EK rendelete (2009. szeptember 24.) az állatok leölésük során való védelméről </w:t>
      </w:r>
    </w:p>
    <w:p w14:paraId="1AA002B2" w14:textId="77777777" w:rsidR="00A612B8" w:rsidRPr="000F168D" w:rsidRDefault="00A612B8" w:rsidP="00A612B8">
      <w:pPr>
        <w:pStyle w:val="Bekezds"/>
        <w:ind w:firstLine="204"/>
        <w:jc w:val="both"/>
      </w:pPr>
      <w:r w:rsidRPr="000F168D">
        <w:t xml:space="preserve">7.4.4. A Tanács 1999/22/EK irányelve (1999. március 29.) a vadon élő állatok állatkertben tartásáról </w:t>
      </w:r>
    </w:p>
    <w:p w14:paraId="07943545" w14:textId="77777777" w:rsidR="00A612B8" w:rsidRPr="000F168D" w:rsidRDefault="00A612B8" w:rsidP="00A612B8">
      <w:pPr>
        <w:pStyle w:val="Bekezds"/>
        <w:ind w:firstLine="204"/>
        <w:jc w:val="both"/>
      </w:pPr>
      <w:r w:rsidRPr="000F168D">
        <w:t xml:space="preserve">7.4.5. Az Európai Parlament és a Tanács 2010/63/EU irányelve (2010. szeptember 22.) a tudományos célokra felhasznált állatok védelméről </w:t>
      </w:r>
    </w:p>
    <w:p w14:paraId="5BCC39EF" w14:textId="77777777" w:rsidR="00A612B8" w:rsidRPr="000F168D" w:rsidRDefault="00A612B8" w:rsidP="00A612B8">
      <w:pPr>
        <w:pStyle w:val="Bekezds"/>
        <w:ind w:firstLine="204"/>
        <w:jc w:val="both"/>
        <w:rPr>
          <w:b/>
          <w:bCs/>
        </w:rPr>
      </w:pPr>
      <w:r w:rsidRPr="000F168D">
        <w:rPr>
          <w:b/>
          <w:bCs/>
        </w:rPr>
        <w:t xml:space="preserve">8. Közegészségügy </w:t>
      </w:r>
    </w:p>
    <w:p w14:paraId="44D7638F" w14:textId="77777777" w:rsidR="00A612B8" w:rsidRPr="000F168D" w:rsidRDefault="00A612B8" w:rsidP="00A612B8">
      <w:pPr>
        <w:pStyle w:val="Bekezds"/>
        <w:ind w:firstLine="204"/>
        <w:jc w:val="both"/>
      </w:pPr>
      <w:r w:rsidRPr="000F168D">
        <w:t xml:space="preserve">8.1. Az emberi eredetű szervek és anyagok magas szintű minőségi és biztonsági előírásainak megállapítására vonatkozó, az alábbiak által szabályozott intézkedések: </w:t>
      </w:r>
    </w:p>
    <w:p w14:paraId="161347B5" w14:textId="77777777" w:rsidR="00A612B8" w:rsidRPr="000F168D" w:rsidRDefault="00A612B8" w:rsidP="00A612B8">
      <w:pPr>
        <w:pStyle w:val="Bekezds"/>
        <w:ind w:firstLine="204"/>
        <w:jc w:val="both"/>
      </w:pPr>
      <w:r w:rsidRPr="000F168D">
        <w:t xml:space="preserve">8.1.1. Az Európai Parlament és a Tanács 2002/98/EK irányelve (2003. január 27.) az emberi vér és vérkomponensek gyűjtésére, vizsgálatára, feldolgozására, tárolására és elosztására vonatkozó minőségi és biztonsági előírások megállapításáról, valamint a 2001/83/EK irányelv módosításáról </w:t>
      </w:r>
    </w:p>
    <w:p w14:paraId="7CB2ADA9" w14:textId="77777777" w:rsidR="00A612B8" w:rsidRPr="000F168D" w:rsidRDefault="00A612B8" w:rsidP="00A612B8">
      <w:pPr>
        <w:pStyle w:val="Bekezds"/>
        <w:ind w:firstLine="204"/>
        <w:jc w:val="both"/>
      </w:pPr>
      <w:r w:rsidRPr="000F168D">
        <w:t xml:space="preserve">8.1.2. Az Európai Parlament és a Tanács 2004/23/EK irányelve (2004. március 31.) az emberi szövetek és sejtek adományozására, gyűjtésére, vizsgálatára, feldolgozására, megőrzésére, tárolására és elosztására vonatkozó minőségi és biztonsági előírások megállapításáról </w:t>
      </w:r>
    </w:p>
    <w:p w14:paraId="6DBD3476" w14:textId="77777777" w:rsidR="00A612B8" w:rsidRPr="000F168D" w:rsidRDefault="00A612B8" w:rsidP="00A612B8">
      <w:pPr>
        <w:pStyle w:val="Bekezds"/>
        <w:ind w:firstLine="204"/>
        <w:jc w:val="both"/>
      </w:pPr>
      <w:r w:rsidRPr="000F168D">
        <w:t xml:space="preserve">8.1.3. Az Európai Parlament és a Tanács 2010/53/EU irányelve (2010. július 7.) az átültetésre szánt emberi szervekre vonatkozó minőségi és biztonsági előírásokról </w:t>
      </w:r>
    </w:p>
    <w:p w14:paraId="0E928DAE" w14:textId="77777777" w:rsidR="00A612B8" w:rsidRPr="000F168D" w:rsidRDefault="00A612B8" w:rsidP="00A612B8">
      <w:pPr>
        <w:pStyle w:val="Bekezds"/>
        <w:ind w:firstLine="204"/>
        <w:jc w:val="both"/>
      </w:pPr>
      <w:r w:rsidRPr="000F168D">
        <w:lastRenderedPageBreak/>
        <w:t xml:space="preserve">8.2. A gyógyszerek és a gyógyászati célú eszközök magas szintű minőségi és biztonsági előírásainak megállapítására vonatkozó, az alábbiak által szabályozott intézkedések: </w:t>
      </w:r>
    </w:p>
    <w:p w14:paraId="2751F499" w14:textId="77777777" w:rsidR="00A612B8" w:rsidRPr="000F168D" w:rsidRDefault="00A612B8" w:rsidP="00A612B8">
      <w:pPr>
        <w:pStyle w:val="Bekezds"/>
        <w:ind w:firstLine="204"/>
        <w:jc w:val="both"/>
      </w:pPr>
      <w:r w:rsidRPr="000F168D">
        <w:t xml:space="preserve">8.2.1. Az Európai Parlament és a Tanács 141/2000/EK rendelete (1999. december 16.) a ritka betegségek gyógyszereiről </w:t>
      </w:r>
    </w:p>
    <w:p w14:paraId="0E2167C1" w14:textId="77777777" w:rsidR="00A612B8" w:rsidRPr="000F168D" w:rsidRDefault="00A612B8" w:rsidP="00A612B8">
      <w:pPr>
        <w:pStyle w:val="Bekezds"/>
        <w:ind w:firstLine="204"/>
        <w:jc w:val="both"/>
      </w:pPr>
      <w:r w:rsidRPr="000F168D">
        <w:t xml:space="preserve">8.2.2. Az Európai Parlament és a Tanács 2001/83/EK irányelve (2001. november 6.) az emberi felhasználásra szánt gyógyszerek közösségi kódexéről </w:t>
      </w:r>
    </w:p>
    <w:p w14:paraId="3296063F" w14:textId="77777777" w:rsidR="00A612B8" w:rsidRPr="000F168D" w:rsidRDefault="00A612B8" w:rsidP="00A612B8">
      <w:pPr>
        <w:pStyle w:val="Bekezds"/>
        <w:ind w:firstLine="204"/>
        <w:jc w:val="both"/>
      </w:pPr>
      <w:r w:rsidRPr="000F168D">
        <w:t xml:space="preserve">8.2.3. Az Európai Parlament és a Tanács (EU) 2019/6 rendelete (2018. december 11.) az állatgyógyászati készítményekről és a 2001/82/EK irányelv hatályon kívül helyezéséről </w:t>
      </w:r>
    </w:p>
    <w:p w14:paraId="407A5C07" w14:textId="77777777" w:rsidR="00A612B8" w:rsidRPr="000F168D" w:rsidRDefault="00A612B8" w:rsidP="00A612B8">
      <w:pPr>
        <w:pStyle w:val="Bekezds"/>
        <w:ind w:firstLine="204"/>
        <w:jc w:val="both"/>
      </w:pPr>
      <w:r w:rsidRPr="000F168D">
        <w:t xml:space="preserve">8.2.4. Az Európai Parlament és a Tanács 726/2004/EK rendelete (2004. március 31.) az emberi, illetve állatgyógyászati felhasználásra szánt gyógyszerek engedélyezésére és felügyeletére vonatkozó közösségi eljárások meghatározásáról és az Európai Gyógyszerügynökség létrehozásáról </w:t>
      </w:r>
    </w:p>
    <w:p w14:paraId="31295AC6" w14:textId="77777777" w:rsidR="00A612B8" w:rsidRPr="000F168D" w:rsidRDefault="00A612B8" w:rsidP="00A612B8">
      <w:pPr>
        <w:pStyle w:val="Bekezds"/>
        <w:ind w:firstLine="204"/>
        <w:jc w:val="both"/>
      </w:pPr>
      <w:r w:rsidRPr="000F168D">
        <w:t xml:space="preserve">8.2.5. Az Európai Parlament és a Tanács 1901/2006/EK rendelete (2006. december 12.) a gyermekgyógyászati felhasználásra szánt gyógyszerkészítményekről, valamint az 1768/92/EGK rendelet, a 2001/20/EK irányelv, a 2001/83/EK irányelv és a 726/2004/EK rendelet módosításáról </w:t>
      </w:r>
    </w:p>
    <w:p w14:paraId="1A8C3CCB" w14:textId="77777777" w:rsidR="00A612B8" w:rsidRPr="000F168D" w:rsidRDefault="00A612B8" w:rsidP="00A612B8">
      <w:pPr>
        <w:pStyle w:val="Bekezds"/>
        <w:ind w:firstLine="204"/>
        <w:jc w:val="both"/>
      </w:pPr>
      <w:r w:rsidRPr="000F168D">
        <w:t xml:space="preserve">8.2.6. Az Európai Parlament és a Tanács 1394/2007/EK rendelete (2007. november 13.) a fejlett terápiás gyógyszerkészítményekről, valamint a 2001/83/EK irányelv és a 726/2004/EK rendelet módosításáról </w:t>
      </w:r>
    </w:p>
    <w:p w14:paraId="1104E994" w14:textId="77777777" w:rsidR="00A612B8" w:rsidRPr="000F168D" w:rsidRDefault="00A612B8" w:rsidP="00A612B8">
      <w:pPr>
        <w:pStyle w:val="Bekezds"/>
        <w:ind w:firstLine="204"/>
        <w:jc w:val="both"/>
      </w:pPr>
      <w:r w:rsidRPr="000F168D">
        <w:t xml:space="preserve">8.2.7. Az Európai Parlament és a Tanács 536/2014/EU rendelete (2014. április 16.) az emberi felhasználásra szánt gyógyszerek klinikai vizsgálatairól és a 2001/20/EK irányelv hatályon kívül helyezéséről </w:t>
      </w:r>
    </w:p>
    <w:p w14:paraId="04817E3A" w14:textId="77777777" w:rsidR="00A612B8" w:rsidRPr="000F168D" w:rsidRDefault="00A612B8" w:rsidP="00A612B8">
      <w:pPr>
        <w:pStyle w:val="Bekezds"/>
        <w:ind w:firstLine="204"/>
        <w:jc w:val="both"/>
      </w:pPr>
      <w:r w:rsidRPr="000F168D">
        <w:t xml:space="preserve">8.3. A határon átnyúló egészségügyi ellátásra vonatkozó betegjogok érvényesítéséről szóló, 2011. március 9-i 2011/24/EU európai parlamenti és tanácsi irányelv által szabályozott betegjogok. </w:t>
      </w:r>
    </w:p>
    <w:p w14:paraId="76D43808" w14:textId="77777777" w:rsidR="00A612B8" w:rsidRPr="000F168D" w:rsidRDefault="00A612B8" w:rsidP="00A612B8">
      <w:pPr>
        <w:pStyle w:val="Bekezds"/>
        <w:ind w:firstLine="204"/>
        <w:jc w:val="both"/>
      </w:pPr>
      <w:r w:rsidRPr="000F168D">
        <w:t xml:space="preserve">8.4. A tagállamoknak a dohánytermékek és kapcsolódó termékek gyártására, kiszerelésére és értékesítésére vonatkozó törvényi, rendeleti és közigazgatási rendelkezései közelítéséről és a 2001/37/EK irányelv hatályon kívül helyezéséről szóló, 2014. április 3-i 2014/40/EU európai parlamenti és tanácsi irányelv által szabályozott dohánytermékek és kapcsolódó termékek gyártása, kiszerelése és értékesítése. </w:t>
      </w:r>
    </w:p>
    <w:p w14:paraId="46767741" w14:textId="77777777" w:rsidR="00A612B8" w:rsidRPr="000F168D" w:rsidRDefault="00A612B8" w:rsidP="00A612B8">
      <w:pPr>
        <w:pStyle w:val="Bekezds"/>
        <w:ind w:firstLine="204"/>
        <w:jc w:val="both"/>
        <w:rPr>
          <w:b/>
          <w:bCs/>
        </w:rPr>
      </w:pPr>
      <w:r w:rsidRPr="000F168D">
        <w:rPr>
          <w:b/>
          <w:bCs/>
        </w:rPr>
        <w:t xml:space="preserve">9. Fogyasztóvédelem </w:t>
      </w:r>
    </w:p>
    <w:p w14:paraId="49C9C544" w14:textId="77777777" w:rsidR="00A612B8" w:rsidRPr="000F168D" w:rsidRDefault="00A612B8" w:rsidP="00A612B8">
      <w:pPr>
        <w:pStyle w:val="Bekezds"/>
        <w:ind w:firstLine="204"/>
        <w:jc w:val="both"/>
      </w:pPr>
      <w:r w:rsidRPr="000F168D">
        <w:t xml:space="preserve">Az alábbiak által szabályozott fogyasztói jogok és fogyasztóvédelem: </w:t>
      </w:r>
    </w:p>
    <w:p w14:paraId="5CA19493" w14:textId="77777777" w:rsidR="00A612B8" w:rsidRPr="000F168D" w:rsidRDefault="00A612B8" w:rsidP="00A612B8">
      <w:pPr>
        <w:pStyle w:val="Bekezds"/>
        <w:ind w:firstLine="204"/>
        <w:jc w:val="both"/>
      </w:pPr>
      <w:r w:rsidRPr="000F168D">
        <w:t xml:space="preserve">9.1. Az Európai Parlament és a Tanács 98/6/EK irányelve (1998. február 16.) a fogyasztók számára kínált termékek árának feltüntetésével kapcsolatos fogyasztóvédelemről </w:t>
      </w:r>
    </w:p>
    <w:p w14:paraId="3DCDA132" w14:textId="77777777" w:rsidR="00A612B8" w:rsidRPr="000F168D" w:rsidRDefault="00A612B8" w:rsidP="00A612B8">
      <w:pPr>
        <w:pStyle w:val="Bekezds"/>
        <w:ind w:firstLine="204"/>
        <w:jc w:val="both"/>
      </w:pPr>
      <w:r w:rsidRPr="000F168D">
        <w:t xml:space="preserve">9.2. Az Európai Parlament és a Tanács (EU) 2019/770 irányelve (2019. május 20.) a digitális tartalom szolgáltatására és digitális szolgáltatások nyújtására irányuló szerződések egyes vonatkozásairól </w:t>
      </w:r>
    </w:p>
    <w:p w14:paraId="14ADD42F" w14:textId="77777777" w:rsidR="00A612B8" w:rsidRPr="000F168D" w:rsidRDefault="00A612B8" w:rsidP="00A612B8">
      <w:pPr>
        <w:pStyle w:val="Bekezds"/>
        <w:ind w:firstLine="204"/>
        <w:jc w:val="both"/>
      </w:pPr>
      <w:r w:rsidRPr="000F168D">
        <w:t xml:space="preserve">9.3. Az Európai Parlament és a Tanács (EU) 2019/771 irányelve (2019. május 20.) az áruk adásvételére irányuló szerződések egyes vonatkozásairól, az (EU) 2017/2394 rendelet és a 2009/22/EK irányelv módosításáról, valamint az 1999/44/EK irányelv hatályon kívül helyezéséről </w:t>
      </w:r>
    </w:p>
    <w:p w14:paraId="6BB1BA75" w14:textId="77777777" w:rsidR="00A612B8" w:rsidRPr="000F168D" w:rsidRDefault="00A612B8" w:rsidP="00A612B8">
      <w:pPr>
        <w:pStyle w:val="Bekezds"/>
        <w:ind w:firstLine="204"/>
        <w:jc w:val="both"/>
      </w:pPr>
      <w:r w:rsidRPr="000F168D">
        <w:t xml:space="preserve">9.4. Az Európai Parlament és a Tanács 1999/44/EK irányelve (1999. május 25.) a fogyasztási cikkek adásvételének és a kapcsolódó jótállásnak egyes vonatkozásairól </w:t>
      </w:r>
    </w:p>
    <w:p w14:paraId="1C4AFADD" w14:textId="77777777" w:rsidR="00A612B8" w:rsidRPr="000F168D" w:rsidRDefault="00A612B8" w:rsidP="00A612B8">
      <w:pPr>
        <w:pStyle w:val="Bekezds"/>
        <w:ind w:firstLine="204"/>
        <w:jc w:val="both"/>
      </w:pPr>
      <w:r w:rsidRPr="000F168D">
        <w:t xml:space="preserve">9.5. Az Európai Parlament és a Tanács 2002/65/EK irányelve (2002. szeptember 23.) a fogyasztói pénzügyi szolgáltatások távértékesítéssel történő forgalmazásáról, valamint a 90/619/EGK tanácsi irányelv, a 97/7/EK irányelv és a 98/27/EK irányelv módosításáról </w:t>
      </w:r>
    </w:p>
    <w:p w14:paraId="0386BA8B" w14:textId="77777777" w:rsidR="00A612B8" w:rsidRPr="000F168D" w:rsidRDefault="00A612B8" w:rsidP="00A612B8">
      <w:pPr>
        <w:pStyle w:val="Bekezds"/>
        <w:ind w:firstLine="204"/>
        <w:jc w:val="both"/>
      </w:pPr>
      <w:r w:rsidRPr="000F168D">
        <w:t xml:space="preserve">9.6. Az Európai Parlament és a Tanács 2005/29/EK irányelve (2005. május 11.) a belső piacon az üzleti vállalkozások fogyasztókkal szemben folytatott tisztességtelen kereskedelmi gyakorlatairól, valamint a 84/450/EGK tanácsi irányelv, a 97/7/EK, a 98/27/EK és a </w:t>
      </w:r>
      <w:r w:rsidRPr="000F168D">
        <w:lastRenderedPageBreak/>
        <w:t xml:space="preserve">2002/65/EK európai parlamenti és tanácsi irányelvek, valamint a 2006/2004/EK európai parlamenti és tanácsi rendelet módosításáról (irányelv a tisztességtelen kereskedelmi gyakorlatokról) </w:t>
      </w:r>
    </w:p>
    <w:p w14:paraId="62AF1A32" w14:textId="77777777" w:rsidR="00A612B8" w:rsidRPr="000F168D" w:rsidRDefault="00A612B8" w:rsidP="00A612B8">
      <w:pPr>
        <w:pStyle w:val="Bekezds"/>
        <w:ind w:firstLine="204"/>
        <w:jc w:val="both"/>
      </w:pPr>
      <w:r w:rsidRPr="000F168D">
        <w:t xml:space="preserve">9.7. Az Európai Parlament és a Tanács 2008/48/EK irányelve (2008. április 23.) a fogyasztói hitelmegállapodásokról és a 87/102/EGK tanácsi irányelv hatályon kívül helyezéséről </w:t>
      </w:r>
    </w:p>
    <w:p w14:paraId="728CD6BD" w14:textId="77777777" w:rsidR="00A612B8" w:rsidRPr="000F168D" w:rsidRDefault="00A612B8" w:rsidP="00A612B8">
      <w:pPr>
        <w:pStyle w:val="Bekezds"/>
        <w:ind w:firstLine="204"/>
        <w:jc w:val="both"/>
      </w:pPr>
      <w:r w:rsidRPr="000F168D">
        <w:t xml:space="preserve">9.8. Az Európai Parlament és a Tanács 2011/83/EU irányelve (2011. október 25.) a fogyasztók jogairól, a 93/13/EGK tanácsi irányelv és az 1999/44/EK európai parlamenti és tanácsi irányelv módosításáról, valamint a 85/577/EGK tanácsi irányelv és a 97/7/EK európai parlamenti és tanácsi irányelv hatályon kívül helyezéséről </w:t>
      </w:r>
    </w:p>
    <w:p w14:paraId="2017040D" w14:textId="77777777" w:rsidR="00A612B8" w:rsidRPr="000F168D" w:rsidRDefault="00A612B8" w:rsidP="00A612B8">
      <w:pPr>
        <w:pStyle w:val="Bekezds"/>
        <w:ind w:firstLine="204"/>
        <w:jc w:val="both"/>
      </w:pPr>
      <w:r w:rsidRPr="000F168D">
        <w:t xml:space="preserve">9.9. Az Európai Parlament és a Tanács 2014/92/EU irányelve (2014. július 23.) a fizetési számlákhoz kapcsolódó díjak összehasonlíthatóságáról, a fizetésiszámla-váltásról és az alapszintű fizetési számla nyitásáról, illetve használatáról </w:t>
      </w:r>
    </w:p>
    <w:p w14:paraId="2E033613" w14:textId="77777777" w:rsidR="00A612B8" w:rsidRPr="000F168D" w:rsidRDefault="00A612B8" w:rsidP="00A612B8">
      <w:pPr>
        <w:pStyle w:val="Bekezds"/>
        <w:ind w:firstLine="204"/>
        <w:jc w:val="both"/>
        <w:rPr>
          <w:b/>
          <w:bCs/>
        </w:rPr>
      </w:pPr>
      <w:r w:rsidRPr="000F168D">
        <w:rPr>
          <w:b/>
          <w:bCs/>
        </w:rPr>
        <w:t xml:space="preserve">10. A magánélet és a személyes adatok védelme, valamint a hálózati és információs rendszerek biztonsága </w:t>
      </w:r>
    </w:p>
    <w:p w14:paraId="4C3E3817" w14:textId="77777777" w:rsidR="00A612B8" w:rsidRPr="000F168D" w:rsidRDefault="00A612B8" w:rsidP="00A612B8">
      <w:pPr>
        <w:pStyle w:val="Bekezds"/>
        <w:ind w:firstLine="204"/>
        <w:jc w:val="both"/>
      </w:pPr>
      <w:r w:rsidRPr="000F168D">
        <w:t xml:space="preserve">10.1. Az Európai Parlament és a Tanács 2002/58/EK irányelve (2002. július 12.) az elektronikus hírközlési ágazatban a személyes adatok kezeléséről, feldolgozásáról és a magánélet védelméről (elektronikus hírközlési adatvédelmi irányelv) </w:t>
      </w:r>
    </w:p>
    <w:p w14:paraId="09FAA53F" w14:textId="77777777" w:rsidR="00A612B8" w:rsidRPr="000F168D" w:rsidRDefault="00A612B8" w:rsidP="00A612B8">
      <w:pPr>
        <w:pStyle w:val="Bekezds"/>
        <w:ind w:firstLine="204"/>
        <w:jc w:val="both"/>
      </w:pPr>
      <w:r w:rsidRPr="000F168D">
        <w:t xml:space="preserve">10.2.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w:t>
      </w:r>
    </w:p>
    <w:p w14:paraId="6FA22206" w14:textId="77777777" w:rsidR="00A612B8" w:rsidRPr="000F168D" w:rsidRDefault="00A612B8" w:rsidP="00A612B8">
      <w:pPr>
        <w:pStyle w:val="Bekezds"/>
        <w:ind w:firstLine="204"/>
        <w:jc w:val="both"/>
      </w:pPr>
      <w:r w:rsidRPr="000F168D">
        <w:t xml:space="preserve">10.3. Az Európai Parlament és a Tanács (EU) 2016/1148 irányelve (2016. július 6.) a hálózati és információs rendszerek biztonságának az egész Unióban egységesen magas szintjét biztosító intézkedésekről </w:t>
      </w:r>
    </w:p>
    <w:p w14:paraId="3A002C9A" w14:textId="77777777" w:rsidR="00A612B8" w:rsidRPr="000F168D" w:rsidRDefault="00A612B8" w:rsidP="00A612B8">
      <w:pPr>
        <w:pStyle w:val="Bekezds"/>
        <w:ind w:firstLine="204"/>
        <w:jc w:val="both"/>
        <w:rPr>
          <w:b/>
          <w:bCs/>
        </w:rPr>
      </w:pPr>
      <w:r w:rsidRPr="000F168D">
        <w:rPr>
          <w:b/>
          <w:bCs/>
        </w:rPr>
        <w:t xml:space="preserve">11. Az Európai Unió működéséről szóló szerződéshez kapcsoló rendelkezések </w:t>
      </w:r>
    </w:p>
    <w:p w14:paraId="33BBE37E" w14:textId="77777777" w:rsidR="00A612B8" w:rsidRPr="000F168D" w:rsidRDefault="00A612B8" w:rsidP="00A612B8">
      <w:pPr>
        <w:pStyle w:val="Bekezds"/>
        <w:ind w:firstLine="204"/>
        <w:jc w:val="both"/>
      </w:pPr>
      <w:r w:rsidRPr="000F168D">
        <w:t xml:space="preserve">11.1. Az Európai Unió működéséről szóló szerződés (a továbbiakban: EUMSZ) 325. cikkében meghatározott, az Európai Unió pénzügyi érdekeit érintő és a vonatkozó uniós intézkedésekben részletesebben meghatározott jogsértések </w:t>
      </w:r>
    </w:p>
    <w:p w14:paraId="5844AB77" w14:textId="19032741" w:rsidR="00B1699F" w:rsidRPr="000F168D" w:rsidRDefault="00A612B8" w:rsidP="00A612B8">
      <w:pPr>
        <w:pStyle w:val="Bekezds"/>
        <w:ind w:firstLine="204"/>
        <w:jc w:val="both"/>
      </w:pPr>
      <w:r w:rsidRPr="000F168D">
        <w:t xml:space="preserve">11.2. Az EUMSZ 26. cikk (2) bekezdése szerinti belső piaccal kapcsolatos jogsértések – többek között a versenyre és az állami támogatásokra vonatkozó uniós szabályok megsértése –, továbbá a belső piaccal kapcsolatos olyan jogsértések, amelyek olyan cselekményekhez kapcsolódnak, amelyek sértik a társasági adóra vonatkozó szabályokat, vagy olyan konstrukciókhoz, amelyek célja a társasági adóra vonatkozó, alkalmazandó jogszabályok tárgyát vagy célját meghiúsító adóelőny szerzése </w:t>
      </w:r>
    </w:p>
    <w:p w14:paraId="527DB312" w14:textId="3869420E" w:rsidR="004C4F1C" w:rsidRDefault="00A612B8" w:rsidP="00ED749F">
      <w:pPr>
        <w:jc w:val="both"/>
      </w:pPr>
      <w:r w:rsidRPr="000F168D">
        <w:t xml:space="preserve"> </w:t>
      </w:r>
      <w:bookmarkEnd w:id="76"/>
      <w:bookmarkEnd w:id="77"/>
    </w:p>
    <w:p w14:paraId="3917E32F" w14:textId="77777777" w:rsidR="004C4F1C" w:rsidRDefault="004C4F1C">
      <w:pPr>
        <w:spacing w:after="160" w:line="259" w:lineRule="auto"/>
      </w:pPr>
      <w:r>
        <w:br w:type="page"/>
      </w:r>
    </w:p>
    <w:p w14:paraId="6A4D7408" w14:textId="77777777" w:rsidR="005675F6" w:rsidRPr="000F168D" w:rsidRDefault="005675F6" w:rsidP="00ED749F">
      <w:pPr>
        <w:jc w:val="both"/>
      </w:pPr>
    </w:p>
    <w:p w14:paraId="1B85DBF7" w14:textId="1937ADEE" w:rsidR="004B7072" w:rsidRPr="000F168D" w:rsidRDefault="004B7072" w:rsidP="00ED749F">
      <w:pPr>
        <w:pStyle w:val="Listaszerbekezds"/>
        <w:numPr>
          <w:ilvl w:val="0"/>
          <w:numId w:val="20"/>
        </w:numPr>
        <w:ind w:left="0"/>
        <w:jc w:val="center"/>
        <w:rPr>
          <w:b/>
          <w:bCs/>
          <w:lang w:eastAsia="de-DE"/>
        </w:rPr>
      </w:pPr>
      <w:r w:rsidRPr="000F168D">
        <w:rPr>
          <w:b/>
          <w:bCs/>
          <w:lang w:eastAsia="de-DE"/>
        </w:rPr>
        <w:t>sz. melléklet</w:t>
      </w:r>
    </w:p>
    <w:p w14:paraId="7954453B" w14:textId="65EE0EBE" w:rsidR="004B7072" w:rsidRPr="000F168D" w:rsidRDefault="004B7072" w:rsidP="00ED749F">
      <w:pPr>
        <w:jc w:val="center"/>
        <w:rPr>
          <w:b/>
          <w:lang w:eastAsia="de-DE"/>
        </w:rPr>
      </w:pPr>
      <w:r w:rsidRPr="000F168D">
        <w:rPr>
          <w:b/>
          <w:lang w:eastAsia="de-DE"/>
        </w:rPr>
        <w:t>Honlap</w:t>
      </w:r>
      <w:r w:rsidR="00ED749F" w:rsidRPr="000F168D">
        <w:rPr>
          <w:b/>
          <w:lang w:eastAsia="de-DE"/>
        </w:rPr>
        <w:t>/Intranet</w:t>
      </w:r>
      <w:r w:rsidR="007722FB" w:rsidRPr="000F168D">
        <w:rPr>
          <w:b/>
          <w:lang w:eastAsia="de-DE"/>
        </w:rPr>
        <w:t xml:space="preserve"> tájékoztató a visszaélés bejelentési rendszer működéséről és az eljárási szabályokról</w:t>
      </w:r>
    </w:p>
    <w:p w14:paraId="4CB09896" w14:textId="2DDA8690" w:rsidR="00371D69" w:rsidRPr="000F168D" w:rsidRDefault="00371D69" w:rsidP="004B7072">
      <w:pPr>
        <w:rPr>
          <w:b/>
          <w:lang w:eastAsia="de-DE"/>
        </w:rPr>
      </w:pPr>
    </w:p>
    <w:p w14:paraId="21D34FCD" w14:textId="508A33DB" w:rsidR="00964BD8" w:rsidRPr="000F168D" w:rsidRDefault="00371D69" w:rsidP="00ED749F">
      <w:pPr>
        <w:rPr>
          <w:b/>
          <w:lang w:eastAsia="de-DE"/>
        </w:rPr>
      </w:pPr>
      <w:r w:rsidRPr="000F168D">
        <w:rPr>
          <w:b/>
          <w:lang w:eastAsia="de-DE"/>
        </w:rPr>
        <w:t>Visszaélés bejelentési rendszer/Bejelentővédelem</w:t>
      </w:r>
    </w:p>
    <w:p w14:paraId="1E8617AC" w14:textId="4975A0A0" w:rsidR="00371D69" w:rsidRPr="000F168D" w:rsidRDefault="00ED749F" w:rsidP="007F1DAD">
      <w:pPr>
        <w:jc w:val="both"/>
        <w:outlineLvl w:val="2"/>
      </w:pPr>
      <w:bookmarkStart w:id="80" w:name="_Toc138772549"/>
      <w:r w:rsidRPr="000F168D">
        <w:t xml:space="preserve">A </w:t>
      </w:r>
      <w:r w:rsidR="00EB3306" w:rsidRPr="000F168D">
        <w:t>Csillagászati és Földtudományi Kutatóközpont</w:t>
      </w:r>
      <w:r w:rsidR="0094364B" w:rsidRPr="000F168D">
        <w:t xml:space="preserve"> (CSFK)</w:t>
      </w:r>
      <w:r w:rsidR="004B7072" w:rsidRPr="000F168D">
        <w:t xml:space="preserve"> </w:t>
      </w:r>
      <w:r w:rsidRPr="000F168D">
        <w:t>kiemelt kötelezettségének tekinti a jogi kötelezettségek betartását és ezt valamennyi dolgozójától, szerződéses partnerétől is elvárja.</w:t>
      </w:r>
      <w:r w:rsidR="00964BD8" w:rsidRPr="000F168D">
        <w:t xml:space="preserve"> </w:t>
      </w:r>
      <w:r w:rsidRPr="000F168D">
        <w:t xml:space="preserve">A </w:t>
      </w:r>
      <w:r w:rsidR="00FF16D0" w:rsidRPr="000F168D">
        <w:t>CSFK</w:t>
      </w:r>
      <w:r w:rsidRPr="000F168D">
        <w:t xml:space="preserve"> ezért</w:t>
      </w:r>
      <w:r w:rsidR="00964BD8" w:rsidRPr="000F168D">
        <w:t xml:space="preserve"> belső visszaélés-bejelentési rendszert működtet a jogsértések felderítése, megelőzése és felszámolása érdekében</w:t>
      </w:r>
      <w:r w:rsidR="00371D69" w:rsidRPr="000F168D">
        <w:t xml:space="preserve"> a panaszokról, a közérdekű bejelentésekről, valamint a visszaélések bejelentésével összefüggő szabályokról szóló 2023. évi XXV. törvény előírásai szerint</w:t>
      </w:r>
      <w:r w:rsidR="00964BD8" w:rsidRPr="000F168D">
        <w:t>.</w:t>
      </w:r>
      <w:bookmarkEnd w:id="80"/>
      <w:r w:rsidR="00964BD8" w:rsidRPr="000F168D">
        <w:t xml:space="preserve"> </w:t>
      </w:r>
    </w:p>
    <w:p w14:paraId="69C60D6D" w14:textId="77777777" w:rsidR="00472AEC" w:rsidRPr="000F168D" w:rsidRDefault="00472AEC" w:rsidP="007F1DAD">
      <w:pPr>
        <w:jc w:val="both"/>
        <w:outlineLvl w:val="2"/>
      </w:pPr>
    </w:p>
    <w:p w14:paraId="6C30398E" w14:textId="77777777" w:rsidR="00472AEC" w:rsidRPr="000F168D" w:rsidRDefault="00472AEC" w:rsidP="00472AEC">
      <w:pPr>
        <w:jc w:val="both"/>
        <w:rPr>
          <w:color w:val="242021"/>
        </w:rPr>
      </w:pPr>
      <w:r w:rsidRPr="000F168D">
        <w:t>A belső</w:t>
      </w:r>
      <w:r w:rsidRPr="000F168D">
        <w:rPr>
          <w:color w:val="242021"/>
        </w:rPr>
        <w:t xml:space="preserve"> visszaélés-bejelentési rendszert a CSFK szervezetén belül a </w:t>
      </w:r>
      <w:r w:rsidRPr="000F168D">
        <w:rPr>
          <w:b/>
          <w:bCs/>
          <w:color w:val="242021"/>
        </w:rPr>
        <w:t>belső kontrollfelelős</w:t>
      </w:r>
      <w:r w:rsidRPr="000F168D">
        <w:rPr>
          <w:color w:val="242021"/>
        </w:rPr>
        <w:t xml:space="preserve"> működteti. </w:t>
      </w:r>
    </w:p>
    <w:p w14:paraId="111CE68A" w14:textId="77777777" w:rsidR="00472AEC" w:rsidRPr="000F168D" w:rsidRDefault="00472AEC" w:rsidP="00472AEC">
      <w:pPr>
        <w:jc w:val="both"/>
      </w:pPr>
    </w:p>
    <w:p w14:paraId="1CC4E978" w14:textId="77777777" w:rsidR="00472AEC" w:rsidRPr="000F168D" w:rsidRDefault="00472AEC" w:rsidP="00472AEC">
      <w:pPr>
        <w:jc w:val="both"/>
      </w:pPr>
      <w:r w:rsidRPr="000F168D">
        <w:t xml:space="preserve">A bejelentő a bejelentést a belső kontrollfelelős felé </w:t>
      </w:r>
      <w:r w:rsidRPr="000F168D">
        <w:rPr>
          <w:b/>
          <w:bCs/>
        </w:rPr>
        <w:t>írásban vagy szóban</w:t>
      </w:r>
      <w:r w:rsidRPr="000F168D">
        <w:t xml:space="preserve"> teheti meg. A szóbeli bejelentést személyesen lehet megtenni. Személyes bejelentéshez előzetes időpontfoglalás szükséges a következő e-mail címen: bejelentes@csfk.org.</w:t>
      </w:r>
    </w:p>
    <w:p w14:paraId="493D4FF3" w14:textId="77777777" w:rsidR="00472AEC" w:rsidRPr="000F168D" w:rsidRDefault="00472AEC" w:rsidP="00472AEC"/>
    <w:p w14:paraId="005A1906" w14:textId="5EA76884" w:rsidR="00472AEC" w:rsidRPr="000F168D" w:rsidRDefault="00472AEC" w:rsidP="00472AEC">
      <w:pPr>
        <w:jc w:val="both"/>
      </w:pPr>
      <w:r w:rsidRPr="000F168D">
        <w:t xml:space="preserve">Személyesen bejelentés esetén a </w:t>
      </w:r>
      <w:r w:rsidRPr="000F168D">
        <w:rPr>
          <w:b/>
          <w:bCs/>
        </w:rPr>
        <w:t>szóbeli bejelentés</w:t>
      </w:r>
      <w:r w:rsidRPr="000F168D">
        <w:t xml:space="preserve"> – a személyes adatok kezelésére vonatkozó tájékoztatást követően – írásba foglalásra kerül és – annak ellenőrzésére, helyesbítésére, aláírással történő elfogadására vonatkozó lehetőség biztosítása mellett – a bejelentő számára másodpéldányban átadásra kerül. A szóbeli bejelentés írásba foglalása során teljes és pontos jegyzőkönyv készül.</w:t>
      </w:r>
    </w:p>
    <w:p w14:paraId="1B7EB4CD" w14:textId="77777777" w:rsidR="00472AEC" w:rsidRPr="000F168D" w:rsidRDefault="00472AEC" w:rsidP="00472AEC">
      <w:pPr>
        <w:jc w:val="both"/>
      </w:pPr>
    </w:p>
    <w:p w14:paraId="66EAEA19" w14:textId="77777777" w:rsidR="00472AEC" w:rsidRPr="000F168D" w:rsidRDefault="00472AEC" w:rsidP="00472AEC">
      <w:pPr>
        <w:jc w:val="both"/>
      </w:pPr>
      <w:r w:rsidRPr="000F168D">
        <w:t xml:space="preserve">Az </w:t>
      </w:r>
      <w:r w:rsidRPr="000F168D">
        <w:rPr>
          <w:b/>
          <w:bCs/>
        </w:rPr>
        <w:t>írásbeli bejelentés</w:t>
      </w:r>
      <w:r w:rsidRPr="000F168D">
        <w:t xml:space="preserve"> megtehető postai úton vagy elektronikus úton. A belső kontroll felelős bejelentésre rendszeresített elérhetőségei: </w:t>
      </w:r>
    </w:p>
    <w:p w14:paraId="5D23B033" w14:textId="77777777" w:rsidR="00472AEC" w:rsidRPr="000F168D" w:rsidRDefault="00472AEC" w:rsidP="00472AEC">
      <w:pPr>
        <w:jc w:val="both"/>
      </w:pPr>
    </w:p>
    <w:p w14:paraId="3D2B7CAE" w14:textId="77777777" w:rsidR="00472AEC" w:rsidRPr="000F168D" w:rsidRDefault="00472AEC" w:rsidP="00472AEC">
      <w:pPr>
        <w:jc w:val="both"/>
        <w:rPr>
          <w:b/>
          <w:bCs/>
        </w:rPr>
      </w:pPr>
      <w:r w:rsidRPr="000F168D">
        <w:t xml:space="preserve">E-mail cím: </w:t>
      </w:r>
      <w:r w:rsidRPr="000F168D">
        <w:rPr>
          <w:b/>
          <w:bCs/>
        </w:rPr>
        <w:t>bejelentes@csfk.org</w:t>
      </w:r>
    </w:p>
    <w:p w14:paraId="485AE51E" w14:textId="77777777" w:rsidR="00472AEC" w:rsidRPr="000F168D" w:rsidRDefault="00472AEC" w:rsidP="00472AEC">
      <w:pPr>
        <w:jc w:val="both"/>
      </w:pPr>
    </w:p>
    <w:p w14:paraId="62149BCB" w14:textId="77777777" w:rsidR="00472AEC" w:rsidRPr="000F168D" w:rsidRDefault="00472AEC" w:rsidP="00472AEC">
      <w:pPr>
        <w:jc w:val="both"/>
      </w:pPr>
      <w:r w:rsidRPr="000F168D">
        <w:t xml:space="preserve">Levelezési cím: </w:t>
      </w:r>
      <w:r w:rsidRPr="000F168D">
        <w:rPr>
          <w:b/>
          <w:bCs/>
        </w:rPr>
        <w:t>Csillagászati és Földtudományi Kutatóközpont</w:t>
      </w:r>
    </w:p>
    <w:p w14:paraId="4BA9AA2A" w14:textId="77777777" w:rsidR="00472AEC" w:rsidRPr="000F168D" w:rsidRDefault="00472AEC" w:rsidP="00472AEC">
      <w:pPr>
        <w:jc w:val="both"/>
        <w:rPr>
          <w:b/>
          <w:bCs/>
        </w:rPr>
      </w:pPr>
      <w:r w:rsidRPr="000F168D">
        <w:tab/>
      </w:r>
      <w:r w:rsidRPr="000F168D">
        <w:tab/>
      </w:r>
      <w:r w:rsidRPr="000F168D">
        <w:rPr>
          <w:b/>
          <w:bCs/>
        </w:rPr>
        <w:t>1121 Budapest, Konkoly Thege Miklós u. 15-17.</w:t>
      </w:r>
    </w:p>
    <w:p w14:paraId="46F1EAEB" w14:textId="77777777" w:rsidR="00472AEC" w:rsidRPr="000F168D" w:rsidRDefault="00472AEC" w:rsidP="00472AEC">
      <w:pPr>
        <w:jc w:val="both"/>
        <w:rPr>
          <w:b/>
          <w:bCs/>
        </w:rPr>
      </w:pPr>
      <w:r w:rsidRPr="000F168D">
        <w:rPr>
          <w:b/>
          <w:bCs/>
        </w:rPr>
        <w:tab/>
      </w:r>
      <w:r w:rsidRPr="000F168D">
        <w:rPr>
          <w:b/>
          <w:bCs/>
        </w:rPr>
        <w:tab/>
        <w:t>A borítékra rá kell írni: "A belső kontrollfelelős részére!"</w:t>
      </w:r>
    </w:p>
    <w:p w14:paraId="49CE1528" w14:textId="77777777" w:rsidR="00472AEC" w:rsidRPr="000F168D" w:rsidRDefault="00472AEC" w:rsidP="00472AEC">
      <w:pPr>
        <w:jc w:val="both"/>
        <w:rPr>
          <w:highlight w:val="green"/>
        </w:rPr>
      </w:pPr>
    </w:p>
    <w:p w14:paraId="020E8CEE" w14:textId="77777777" w:rsidR="00472AEC" w:rsidRPr="000F168D" w:rsidRDefault="00472AEC" w:rsidP="00472AEC">
      <w:pPr>
        <w:rPr>
          <w:b/>
        </w:rPr>
      </w:pPr>
      <w:r w:rsidRPr="000F168D">
        <w:t>Kizárólag a fenti kapcsolattartási címekre érkező, pontosan címzett bejelentések esetén biztosított a Panasztörvényben előírt adatvédelmi rendelkezések teljesülése.</w:t>
      </w:r>
      <w:r w:rsidRPr="000F168D">
        <w:rPr>
          <w:b/>
        </w:rPr>
        <w:t xml:space="preserve"> </w:t>
      </w:r>
    </w:p>
    <w:p w14:paraId="0341416F" w14:textId="77777777" w:rsidR="00472AEC" w:rsidRPr="000F168D" w:rsidRDefault="00472AEC" w:rsidP="00472AEC">
      <w:pPr>
        <w:rPr>
          <w:b/>
        </w:rPr>
      </w:pPr>
    </w:p>
    <w:p w14:paraId="7977F0ED" w14:textId="77777777" w:rsidR="00472AEC" w:rsidRPr="000F168D" w:rsidRDefault="00472AEC" w:rsidP="00472AEC">
      <w:pPr>
        <w:rPr>
          <w:b/>
          <w:bCs/>
        </w:rPr>
      </w:pPr>
      <w:r w:rsidRPr="000F168D">
        <w:t xml:space="preserve">A bejelentés megtehető az erre kialakított sablon (4. melléklet) kitöltése és postai úton / e-mail mellékletként történő megküldése útján is. </w:t>
      </w:r>
      <w:r w:rsidRPr="000F168D">
        <w:rPr>
          <w:b/>
          <w:bCs/>
        </w:rPr>
        <w:t>Postai úton történő bejelentés esetében a borítékra rá kell írni: "A belső kontrollfelelős részére!"</w:t>
      </w:r>
    </w:p>
    <w:p w14:paraId="0962AE61" w14:textId="77777777" w:rsidR="00472AEC" w:rsidRPr="000F168D" w:rsidRDefault="00472AEC" w:rsidP="00472AEC">
      <w:pPr>
        <w:jc w:val="both"/>
        <w:outlineLvl w:val="2"/>
        <w:rPr>
          <w:b/>
        </w:rPr>
      </w:pPr>
    </w:p>
    <w:p w14:paraId="29C87BDB" w14:textId="77777777" w:rsidR="00472AEC" w:rsidRPr="000F168D" w:rsidRDefault="00472AEC" w:rsidP="00472AEC">
      <w:pPr>
        <w:jc w:val="both"/>
      </w:pPr>
      <w:r w:rsidRPr="000F168D">
        <w:t>A bejelentéshez az alábbi információk megküldése szükséges:</w:t>
      </w:r>
    </w:p>
    <w:p w14:paraId="0B445861" w14:textId="77777777" w:rsidR="00472AEC" w:rsidRPr="000F168D" w:rsidRDefault="00472AEC" w:rsidP="00472AEC">
      <w:pPr>
        <w:jc w:val="both"/>
      </w:pPr>
    </w:p>
    <w:p w14:paraId="57FF3038" w14:textId="77777777" w:rsidR="00472AEC" w:rsidRPr="000F168D" w:rsidRDefault="00472AEC" w:rsidP="00472AEC">
      <w:pPr>
        <w:pStyle w:val="Listaszerbekezds"/>
        <w:numPr>
          <w:ilvl w:val="0"/>
          <w:numId w:val="25"/>
        </w:numPr>
        <w:jc w:val="both"/>
      </w:pPr>
      <w:r w:rsidRPr="000F168D">
        <w:t>bejelentő neve</w:t>
      </w:r>
    </w:p>
    <w:p w14:paraId="73E9A9E9" w14:textId="77777777" w:rsidR="00472AEC" w:rsidRPr="000F168D" w:rsidRDefault="00472AEC" w:rsidP="00472AEC">
      <w:pPr>
        <w:pStyle w:val="Listaszerbekezds"/>
        <w:numPr>
          <w:ilvl w:val="0"/>
          <w:numId w:val="25"/>
        </w:numPr>
        <w:jc w:val="both"/>
      </w:pPr>
      <w:r w:rsidRPr="000F168D">
        <w:t>kapcsolati adatai</w:t>
      </w:r>
    </w:p>
    <w:p w14:paraId="66283A1E" w14:textId="77777777" w:rsidR="00472AEC" w:rsidRPr="000F168D" w:rsidRDefault="00472AEC" w:rsidP="00472AEC">
      <w:pPr>
        <w:pStyle w:val="Listaszerbekezds"/>
        <w:numPr>
          <w:ilvl w:val="0"/>
          <w:numId w:val="25"/>
        </w:numPr>
        <w:jc w:val="both"/>
      </w:pPr>
      <w:r w:rsidRPr="000F168D">
        <w:t xml:space="preserve">a bejelentő kapcsolata a CSFK-val,  </w:t>
      </w:r>
    </w:p>
    <w:p w14:paraId="304A6F16" w14:textId="77777777" w:rsidR="00472AEC" w:rsidRPr="000F168D" w:rsidRDefault="00472AEC" w:rsidP="00472AEC">
      <w:pPr>
        <w:pStyle w:val="Listaszerbekezds"/>
        <w:numPr>
          <w:ilvl w:val="0"/>
          <w:numId w:val="25"/>
        </w:numPr>
        <w:jc w:val="both"/>
      </w:pPr>
      <w:r w:rsidRPr="000F168D">
        <w:t>a jogsértés leírása.</w:t>
      </w:r>
    </w:p>
    <w:p w14:paraId="32945ED5" w14:textId="77777777" w:rsidR="00472AEC" w:rsidRPr="000F168D" w:rsidRDefault="00472AEC" w:rsidP="00472AEC"/>
    <w:p w14:paraId="0106E1EE" w14:textId="77777777" w:rsidR="00472AEC" w:rsidRPr="000F168D" w:rsidRDefault="00472AEC" w:rsidP="00472AEC">
      <w:pPr>
        <w:jc w:val="both"/>
      </w:pPr>
      <w:r w:rsidRPr="000F168D">
        <w:lastRenderedPageBreak/>
        <w:t xml:space="preserve">A bejelentéshez csatolhatók azok a bizonyítékok is, amelyre a bejelentő hivatkozni kíván az eljárás során.  </w:t>
      </w:r>
    </w:p>
    <w:p w14:paraId="3F540A42" w14:textId="77777777" w:rsidR="00472AEC" w:rsidRPr="000F168D" w:rsidRDefault="00472AEC" w:rsidP="007F1DAD">
      <w:pPr>
        <w:jc w:val="both"/>
        <w:outlineLvl w:val="2"/>
      </w:pPr>
    </w:p>
    <w:p w14:paraId="7AE546C2" w14:textId="79B699CD" w:rsidR="007F1DAD" w:rsidRPr="000F168D" w:rsidRDefault="00472AEC" w:rsidP="00AB30E2">
      <w:pPr>
        <w:pBdr>
          <w:top w:val="single" w:sz="4" w:space="1" w:color="auto"/>
          <w:left w:val="single" w:sz="4" w:space="4" w:color="auto"/>
          <w:bottom w:val="single" w:sz="4" w:space="1" w:color="auto"/>
          <w:right w:val="single" w:sz="4" w:space="4" w:color="auto"/>
        </w:pBdr>
        <w:jc w:val="both"/>
        <w:outlineLvl w:val="2"/>
      </w:pPr>
      <w:r w:rsidRPr="000F168D">
        <w:t>A bejelentő számára részletes eljárásrendünket és az adatkezelési tájékoztatót megküldjük olyan módon, ahogyan a bejelentést megkaptuk vagy a bejelentő kéri.</w:t>
      </w:r>
    </w:p>
    <w:p w14:paraId="68CB22C1" w14:textId="77777777" w:rsidR="00472AEC" w:rsidRPr="000F168D" w:rsidRDefault="00472AEC" w:rsidP="007F1DAD">
      <w:pPr>
        <w:jc w:val="both"/>
        <w:outlineLvl w:val="2"/>
      </w:pPr>
    </w:p>
    <w:p w14:paraId="5AB5D306" w14:textId="77777777" w:rsidR="00371D69" w:rsidRPr="000F168D" w:rsidRDefault="00371D69" w:rsidP="00371D69">
      <w:pPr>
        <w:jc w:val="both"/>
        <w:rPr>
          <w:b/>
        </w:rPr>
      </w:pPr>
      <w:r w:rsidRPr="000F168D">
        <w:t xml:space="preserve">A vizsgálat valamennyi szakaszában szigorúan bizalmasan kezelünk minden bejelentést, a bejelentő személyazonosságát is, azonban felhívjuk szíves figyelmét, hogy kizárólag a fenti kapcsolattartási címekre érkező, </w:t>
      </w:r>
      <w:r w:rsidRPr="000F168D">
        <w:rPr>
          <w:b/>
        </w:rPr>
        <w:t xml:space="preserve">pontosan címzett bejelentések esetén biztosított az adatvédelmi rendelkezések teljesülése. </w:t>
      </w:r>
    </w:p>
    <w:p w14:paraId="5C7DA1D2" w14:textId="77777777" w:rsidR="00371D69" w:rsidRPr="000F168D" w:rsidRDefault="00371D69" w:rsidP="00371D69">
      <w:pPr>
        <w:jc w:val="both"/>
      </w:pPr>
    </w:p>
    <w:p w14:paraId="714C8511" w14:textId="0ED368B8" w:rsidR="00371D69" w:rsidRPr="000F168D" w:rsidRDefault="00371D69" w:rsidP="00371D69">
      <w:pPr>
        <w:jc w:val="both"/>
      </w:pPr>
      <w:r w:rsidRPr="000F168D">
        <w:t xml:space="preserve">Tájékoztatjuk, hogy a </w:t>
      </w:r>
      <w:r w:rsidRPr="000F168D">
        <w:rPr>
          <w:b/>
        </w:rPr>
        <w:t>bejelentés kivizsgálása mellőzhető</w:t>
      </w:r>
      <w:r w:rsidRPr="000F168D">
        <w:t>, ha a bejelentést azonosíthatatlan</w:t>
      </w:r>
      <w:r w:rsidR="009D1CDF" w:rsidRPr="000F168D">
        <w:t xml:space="preserve"> vagy azt </w:t>
      </w:r>
      <w:r w:rsidRPr="000F168D">
        <w:t>nem az erre jogosult személy</w:t>
      </w:r>
      <w:r w:rsidR="009D1CDF" w:rsidRPr="000F168D">
        <w:t xml:space="preserve"> tette megtovábbá, ha a bejelentés a bejelentő korábbi bejelentésével azonos tartalmú, valamint, amennyiben a közérdek vagy a nyomós magánérdek sérelme a bejelentésben érintett természetes személy, illetve jogi személy (a továbbiakban együtt: bejelentésben érintett személy) jogainak a bejelentés kivizsgálásából eredő korlátozásával nem állna arányban</w:t>
      </w:r>
      <w:r w:rsidR="005A517F" w:rsidRPr="000F168D">
        <w:t>.</w:t>
      </w:r>
    </w:p>
    <w:p w14:paraId="5E8E7269" w14:textId="1A51AC8F" w:rsidR="007F1DAD" w:rsidRPr="000F168D" w:rsidRDefault="007F1DAD" w:rsidP="007F1DAD">
      <w:pPr>
        <w:jc w:val="both"/>
        <w:outlineLvl w:val="2"/>
      </w:pPr>
    </w:p>
    <w:p w14:paraId="36C548E1" w14:textId="283B1A80" w:rsidR="00371D69" w:rsidRPr="000F168D" w:rsidRDefault="00371D69" w:rsidP="00371D69">
      <w:pPr>
        <w:jc w:val="both"/>
        <w:outlineLvl w:val="2"/>
      </w:pPr>
      <w:bookmarkStart w:id="81" w:name="_Toc138772561"/>
      <w:r w:rsidRPr="000F168D">
        <w:t xml:space="preserve">Felhívjuk végül szíves figyelmét a </w:t>
      </w:r>
      <w:r w:rsidRPr="000F168D">
        <w:rPr>
          <w:b/>
        </w:rPr>
        <w:t>rosszhiszemű bejelentés következményeire</w:t>
      </w:r>
      <w:r w:rsidRPr="000F168D">
        <w:t>. Eszerint, ha nyilvánvalóvá vált, hogy a bejelentő rosszhiszeműen, valótlan adatot vagy információt közölt és</w:t>
      </w:r>
      <w:bookmarkEnd w:id="81"/>
      <w:r w:rsidRPr="000F168D">
        <w:t xml:space="preserve"> </w:t>
      </w:r>
    </w:p>
    <w:p w14:paraId="4989BDB3" w14:textId="77777777" w:rsidR="00371D69" w:rsidRPr="000F168D" w:rsidRDefault="00371D69" w:rsidP="00371D69">
      <w:pPr>
        <w:jc w:val="both"/>
        <w:outlineLvl w:val="2"/>
      </w:pPr>
      <w:bookmarkStart w:id="82" w:name="_Toc138772562"/>
      <w:r w:rsidRPr="000F168D">
        <w:t>a) ezzel bűncselekmény vagy szabálysértés elkövetésére utaló körülmény merül fel, személyes adatait az eljárás lefolytatására jogosult szerv vagy személy részére át kell adni,</w:t>
      </w:r>
      <w:bookmarkEnd w:id="82"/>
      <w:r w:rsidRPr="000F168D">
        <w:t xml:space="preserve"> </w:t>
      </w:r>
    </w:p>
    <w:p w14:paraId="57C7EF72" w14:textId="5EE08837" w:rsidR="00ED749F" w:rsidRPr="000F168D" w:rsidRDefault="00371D69" w:rsidP="00ED749F">
      <w:pPr>
        <w:jc w:val="both"/>
        <w:outlineLvl w:val="2"/>
      </w:pPr>
      <w:bookmarkStart w:id="83" w:name="_Toc138772563"/>
      <w:r w:rsidRPr="000F168D">
        <w:t>b) alappal valószínűsíthető, hogy másnak jogellenes kárt vagy egyéb jogsérelmet okozott, személyes adatait az eljárás kezdeményezésére, illetve lefolytatására jogosult szervnek vagy személynek kérelmére át kell adni.</w:t>
      </w:r>
      <w:bookmarkEnd w:id="83"/>
      <w:r w:rsidRPr="000F168D">
        <w:t xml:space="preserve"> </w:t>
      </w:r>
    </w:p>
    <w:p w14:paraId="77F7F554" w14:textId="2905A408" w:rsidR="00B1699F" w:rsidRPr="000F168D" w:rsidRDefault="00B1699F">
      <w:pPr>
        <w:spacing w:after="160" w:line="259" w:lineRule="auto"/>
      </w:pPr>
      <w:r w:rsidRPr="000F168D">
        <w:br w:type="page"/>
      </w:r>
    </w:p>
    <w:p w14:paraId="5872A251" w14:textId="77777777" w:rsidR="0094364B" w:rsidRPr="000F168D" w:rsidRDefault="0094364B" w:rsidP="00ED749F">
      <w:pPr>
        <w:jc w:val="both"/>
        <w:outlineLvl w:val="2"/>
      </w:pPr>
    </w:p>
    <w:p w14:paraId="5162150A" w14:textId="731B04DD" w:rsidR="005A517F" w:rsidRPr="000F168D" w:rsidRDefault="005675F6" w:rsidP="00ED749F">
      <w:pPr>
        <w:pStyle w:val="Listaszerbekezds"/>
        <w:numPr>
          <w:ilvl w:val="0"/>
          <w:numId w:val="20"/>
        </w:numPr>
        <w:jc w:val="center"/>
        <w:rPr>
          <w:b/>
          <w:bCs/>
          <w:lang w:eastAsia="de-DE"/>
        </w:rPr>
      </w:pPr>
      <w:r w:rsidRPr="000F168D">
        <w:rPr>
          <w:b/>
          <w:bCs/>
          <w:lang w:eastAsia="de-DE"/>
        </w:rPr>
        <w:t xml:space="preserve">sz. melléklet – </w:t>
      </w:r>
      <w:r w:rsidR="00ED749F" w:rsidRPr="000F168D">
        <w:rPr>
          <w:b/>
          <w:bCs/>
          <w:lang w:eastAsia="de-DE"/>
        </w:rPr>
        <w:t xml:space="preserve">bejelentés </w:t>
      </w:r>
      <w:r w:rsidRPr="000F168D">
        <w:rPr>
          <w:b/>
          <w:bCs/>
          <w:lang w:eastAsia="de-DE"/>
        </w:rPr>
        <w:t>sablon</w:t>
      </w:r>
    </w:p>
    <w:p w14:paraId="5ADFF75B" w14:textId="7803F417" w:rsidR="00ED749F" w:rsidRPr="000F168D" w:rsidRDefault="00ED749F" w:rsidP="00ED749F">
      <w:pPr>
        <w:jc w:val="center"/>
        <w:rPr>
          <w:b/>
          <w:lang w:eastAsia="de-DE"/>
        </w:rPr>
      </w:pPr>
      <w:r w:rsidRPr="000F168D">
        <w:rPr>
          <w:b/>
          <w:lang w:eastAsia="de-DE"/>
        </w:rPr>
        <w:t xml:space="preserve">Visszaélés bejelentése a </w:t>
      </w:r>
      <w:r w:rsidR="00EB3306" w:rsidRPr="000F168D">
        <w:rPr>
          <w:b/>
          <w:lang w:eastAsia="de-DE"/>
        </w:rPr>
        <w:t>Csillagászati és Földtudományi Kutatóközpont</w:t>
      </w:r>
      <w:r w:rsidRPr="000F168D">
        <w:rPr>
          <w:b/>
          <w:lang w:eastAsia="de-DE"/>
        </w:rPr>
        <w:t xml:space="preserve"> részére</w:t>
      </w:r>
    </w:p>
    <w:p w14:paraId="5D213353" w14:textId="77777777" w:rsidR="00ED749F" w:rsidRPr="000F168D" w:rsidRDefault="00ED749F" w:rsidP="00ED749F">
      <w:pPr>
        <w:jc w:val="center"/>
        <w:rPr>
          <w:lang w:eastAsia="de-DE"/>
        </w:rPr>
      </w:pPr>
    </w:p>
    <w:p w14:paraId="5DBAEC1D" w14:textId="77777777" w:rsidR="00ED749F" w:rsidRPr="000F168D" w:rsidRDefault="00ED749F" w:rsidP="00ED749F">
      <w:pPr>
        <w:jc w:val="both"/>
      </w:pPr>
      <w:r w:rsidRPr="000F168D">
        <w:t xml:space="preserve">A panaszokról, a közérdekű bejelentésekről, valamint a visszaélések bejelentésével összefüggő szabályokról szóló 2023. évi XXV. törvényben (Panasztörvény) foglaltak alapján az alábbi bejelentést kívánom tenni. </w:t>
      </w:r>
    </w:p>
    <w:p w14:paraId="1E1FABA5" w14:textId="77777777" w:rsidR="00ED749F" w:rsidRPr="000F168D" w:rsidRDefault="00ED749F" w:rsidP="00ED749F">
      <w:pPr>
        <w:jc w:val="both"/>
      </w:pPr>
    </w:p>
    <w:tbl>
      <w:tblPr>
        <w:tblStyle w:val="Tblzategyszer1"/>
        <w:tblW w:w="0" w:type="auto"/>
        <w:tblLook w:val="04A0" w:firstRow="1" w:lastRow="0" w:firstColumn="1" w:lastColumn="0" w:noHBand="0" w:noVBand="1"/>
      </w:tblPr>
      <w:tblGrid>
        <w:gridCol w:w="4531"/>
        <w:gridCol w:w="4531"/>
      </w:tblGrid>
      <w:tr w:rsidR="00ED749F" w:rsidRPr="000F168D" w14:paraId="0CEE3F12" w14:textId="77777777" w:rsidTr="00ED7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1472C2A" w14:textId="26E062A5" w:rsidR="00ED749F" w:rsidRPr="000F168D" w:rsidRDefault="00ED749F" w:rsidP="00AB30E2">
            <w:pPr>
              <w:jc w:val="center"/>
            </w:pPr>
            <w:r w:rsidRPr="000F168D">
              <w:t>A bejelentő neve:</w:t>
            </w:r>
          </w:p>
        </w:tc>
        <w:tc>
          <w:tcPr>
            <w:tcW w:w="4531" w:type="dxa"/>
          </w:tcPr>
          <w:p w14:paraId="02763C26" w14:textId="77777777" w:rsidR="00ED749F" w:rsidRPr="000F168D" w:rsidRDefault="00ED749F" w:rsidP="00ED749F">
            <w:pPr>
              <w:jc w:val="both"/>
              <w:cnfStyle w:val="100000000000" w:firstRow="1" w:lastRow="0" w:firstColumn="0" w:lastColumn="0" w:oddVBand="0" w:evenVBand="0" w:oddHBand="0" w:evenHBand="0" w:firstRowFirstColumn="0" w:firstRowLastColumn="0" w:lastRowFirstColumn="0" w:lastRowLastColumn="0"/>
            </w:pPr>
          </w:p>
        </w:tc>
      </w:tr>
      <w:tr w:rsidR="00ED749F" w:rsidRPr="000F168D" w14:paraId="0DF833A4" w14:textId="77777777" w:rsidTr="00ED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AF65109" w14:textId="7692481F" w:rsidR="00ED749F" w:rsidRPr="000F168D" w:rsidRDefault="00ED749F" w:rsidP="00AB30E2">
            <w:pPr>
              <w:jc w:val="center"/>
            </w:pPr>
            <w:r w:rsidRPr="000F168D">
              <w:t>A bejelentő elérhetősége:</w:t>
            </w:r>
          </w:p>
        </w:tc>
        <w:tc>
          <w:tcPr>
            <w:tcW w:w="4531" w:type="dxa"/>
          </w:tcPr>
          <w:p w14:paraId="468F9948" w14:textId="77777777" w:rsidR="00ED749F" w:rsidRPr="000F168D" w:rsidRDefault="00ED749F" w:rsidP="00ED749F">
            <w:pPr>
              <w:jc w:val="both"/>
              <w:cnfStyle w:val="000000100000" w:firstRow="0" w:lastRow="0" w:firstColumn="0" w:lastColumn="0" w:oddVBand="0" w:evenVBand="0" w:oddHBand="1" w:evenHBand="0" w:firstRowFirstColumn="0" w:firstRowLastColumn="0" w:lastRowFirstColumn="0" w:lastRowLastColumn="0"/>
            </w:pPr>
          </w:p>
        </w:tc>
      </w:tr>
      <w:tr w:rsidR="00ED749F" w:rsidRPr="000F168D" w14:paraId="020D5F08" w14:textId="77777777" w:rsidTr="00ED749F">
        <w:tc>
          <w:tcPr>
            <w:cnfStyle w:val="001000000000" w:firstRow="0" w:lastRow="0" w:firstColumn="1" w:lastColumn="0" w:oddVBand="0" w:evenVBand="0" w:oddHBand="0" w:evenHBand="0" w:firstRowFirstColumn="0" w:firstRowLastColumn="0" w:lastRowFirstColumn="0" w:lastRowLastColumn="0"/>
            <w:tcW w:w="4531" w:type="dxa"/>
          </w:tcPr>
          <w:p w14:paraId="05E1D999" w14:textId="5209FBC7" w:rsidR="00ED749F" w:rsidRPr="000F168D" w:rsidRDefault="00ED749F" w:rsidP="00AB30E2">
            <w:pPr>
              <w:jc w:val="center"/>
            </w:pPr>
            <w:r w:rsidRPr="000F168D">
              <w:t xml:space="preserve">A </w:t>
            </w:r>
            <w:r w:rsidR="00EB3306" w:rsidRPr="000F168D">
              <w:t>Csillagászati és Földtudományi Kutatóközponttal</w:t>
            </w:r>
            <w:r w:rsidRPr="000F168D">
              <w:t xml:space="preserve"> fennálló jogviszony megnevezése:</w:t>
            </w:r>
          </w:p>
        </w:tc>
        <w:tc>
          <w:tcPr>
            <w:tcW w:w="4531" w:type="dxa"/>
          </w:tcPr>
          <w:p w14:paraId="44656CD7" w14:textId="77777777" w:rsidR="00ED749F" w:rsidRPr="000F168D" w:rsidRDefault="00ED749F" w:rsidP="00ED749F">
            <w:pPr>
              <w:jc w:val="both"/>
              <w:cnfStyle w:val="000000000000" w:firstRow="0" w:lastRow="0" w:firstColumn="0" w:lastColumn="0" w:oddVBand="0" w:evenVBand="0" w:oddHBand="0" w:evenHBand="0" w:firstRowFirstColumn="0" w:firstRowLastColumn="0" w:lastRowFirstColumn="0" w:lastRowLastColumn="0"/>
            </w:pPr>
          </w:p>
        </w:tc>
      </w:tr>
      <w:tr w:rsidR="00472AEC" w:rsidRPr="000F168D" w14:paraId="0AD5B46D" w14:textId="77777777" w:rsidTr="00ED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D51856" w14:textId="404B0642" w:rsidR="00472AEC" w:rsidRPr="000F168D" w:rsidRDefault="00472AEC" w:rsidP="00472AEC">
            <w:pPr>
              <w:jc w:val="center"/>
            </w:pPr>
            <w:r w:rsidRPr="000F168D">
              <w:t>A megsértett norma, amelyre tekintettel a bejelentést teszik:</w:t>
            </w:r>
          </w:p>
        </w:tc>
        <w:tc>
          <w:tcPr>
            <w:tcW w:w="4531" w:type="dxa"/>
          </w:tcPr>
          <w:p w14:paraId="49137754" w14:textId="77777777" w:rsidR="00472AEC" w:rsidRPr="000F168D" w:rsidRDefault="00472AEC" w:rsidP="00ED749F">
            <w:pPr>
              <w:jc w:val="both"/>
              <w:cnfStyle w:val="000000100000" w:firstRow="0" w:lastRow="0" w:firstColumn="0" w:lastColumn="0" w:oddVBand="0" w:evenVBand="0" w:oddHBand="1" w:evenHBand="0" w:firstRowFirstColumn="0" w:firstRowLastColumn="0" w:lastRowFirstColumn="0" w:lastRowLastColumn="0"/>
            </w:pPr>
          </w:p>
        </w:tc>
      </w:tr>
      <w:tr w:rsidR="00ED749F" w:rsidRPr="000F168D" w14:paraId="4BC2568F" w14:textId="77777777" w:rsidTr="00ED749F">
        <w:tc>
          <w:tcPr>
            <w:cnfStyle w:val="001000000000" w:firstRow="0" w:lastRow="0" w:firstColumn="1" w:lastColumn="0" w:oddVBand="0" w:evenVBand="0" w:oddHBand="0" w:evenHBand="0" w:firstRowFirstColumn="0" w:firstRowLastColumn="0" w:lastRowFirstColumn="0" w:lastRowLastColumn="0"/>
            <w:tcW w:w="4531" w:type="dxa"/>
          </w:tcPr>
          <w:p w14:paraId="56037119" w14:textId="53878583" w:rsidR="00ED749F" w:rsidRPr="000F168D" w:rsidRDefault="00ED749F" w:rsidP="00AB30E2">
            <w:pPr>
              <w:jc w:val="center"/>
            </w:pPr>
            <w:r w:rsidRPr="000F168D">
              <w:t>A bejelentés leírása:</w:t>
            </w:r>
          </w:p>
        </w:tc>
        <w:tc>
          <w:tcPr>
            <w:tcW w:w="4531" w:type="dxa"/>
          </w:tcPr>
          <w:p w14:paraId="5D16B8F4" w14:textId="77777777" w:rsidR="00ED749F" w:rsidRPr="000F168D" w:rsidRDefault="00ED749F" w:rsidP="00ED749F">
            <w:pPr>
              <w:jc w:val="both"/>
              <w:cnfStyle w:val="000000000000" w:firstRow="0" w:lastRow="0" w:firstColumn="0" w:lastColumn="0" w:oddVBand="0" w:evenVBand="0" w:oddHBand="0" w:evenHBand="0" w:firstRowFirstColumn="0" w:firstRowLastColumn="0" w:lastRowFirstColumn="0" w:lastRowLastColumn="0"/>
            </w:pPr>
          </w:p>
        </w:tc>
      </w:tr>
    </w:tbl>
    <w:p w14:paraId="243068D6" w14:textId="77777777" w:rsidR="00ED749F" w:rsidRPr="000F168D" w:rsidRDefault="00ED749F" w:rsidP="00ED749F">
      <w:pPr>
        <w:jc w:val="both"/>
      </w:pPr>
    </w:p>
    <w:p w14:paraId="7249C834" w14:textId="2A17B69B" w:rsidR="00ED749F" w:rsidRPr="000F168D" w:rsidRDefault="00ED749F" w:rsidP="00ED749F">
      <w:pPr>
        <w:jc w:val="both"/>
      </w:pPr>
      <w:r w:rsidRPr="000F168D">
        <w:t>Dátum:............................................</w:t>
      </w:r>
    </w:p>
    <w:p w14:paraId="26111C4B" w14:textId="77777777" w:rsidR="00ED749F" w:rsidRPr="000F168D" w:rsidRDefault="00ED749F" w:rsidP="00ED749F">
      <w:pPr>
        <w:jc w:val="both"/>
      </w:pPr>
    </w:p>
    <w:p w14:paraId="6E9D7CF0" w14:textId="799BD724" w:rsidR="00ED749F" w:rsidRPr="000F168D" w:rsidRDefault="00ED749F" w:rsidP="00ED749F">
      <w:pPr>
        <w:jc w:val="center"/>
      </w:pPr>
      <w:r w:rsidRPr="000F168D">
        <w:t>............................................................</w:t>
      </w:r>
    </w:p>
    <w:p w14:paraId="1B4E9930" w14:textId="21BFD77E" w:rsidR="00ED749F" w:rsidRPr="000F168D" w:rsidRDefault="00ED749F" w:rsidP="00ED749F">
      <w:pPr>
        <w:jc w:val="center"/>
        <w:rPr>
          <w:b/>
          <w:bCs/>
        </w:rPr>
      </w:pPr>
      <w:r w:rsidRPr="000F168D">
        <w:rPr>
          <w:b/>
          <w:bCs/>
        </w:rPr>
        <w:t>Aláírás</w:t>
      </w:r>
    </w:p>
    <w:p w14:paraId="22CEA07E" w14:textId="40C9EE58" w:rsidR="00B1699F" w:rsidRPr="000F168D" w:rsidRDefault="00B1699F">
      <w:pPr>
        <w:spacing w:after="160" w:line="259" w:lineRule="auto"/>
        <w:rPr>
          <w:lang w:eastAsia="de-DE"/>
        </w:rPr>
      </w:pPr>
      <w:r w:rsidRPr="000F168D">
        <w:rPr>
          <w:lang w:eastAsia="de-DE"/>
        </w:rPr>
        <w:br w:type="page"/>
      </w:r>
    </w:p>
    <w:p w14:paraId="1DC9758C" w14:textId="77777777" w:rsidR="005A517F" w:rsidRPr="000F168D" w:rsidRDefault="005A517F" w:rsidP="005A517F">
      <w:pPr>
        <w:jc w:val="right"/>
        <w:rPr>
          <w:lang w:eastAsia="de-DE"/>
        </w:rPr>
      </w:pPr>
    </w:p>
    <w:p w14:paraId="4DA359C0" w14:textId="2174521A" w:rsidR="00FB41CE" w:rsidRPr="000F168D" w:rsidRDefault="005675F6" w:rsidP="00ED749F">
      <w:pPr>
        <w:pStyle w:val="Listaszerbekezds"/>
        <w:numPr>
          <w:ilvl w:val="0"/>
          <w:numId w:val="20"/>
        </w:numPr>
        <w:jc w:val="center"/>
        <w:rPr>
          <w:b/>
          <w:bCs/>
          <w:lang w:eastAsia="de-DE"/>
        </w:rPr>
      </w:pPr>
      <w:r w:rsidRPr="000F168D">
        <w:rPr>
          <w:b/>
          <w:bCs/>
          <w:lang w:eastAsia="de-DE"/>
        </w:rPr>
        <w:t>sz. melléklet – titoktartási nyilatkozat</w:t>
      </w:r>
    </w:p>
    <w:p w14:paraId="2627ECAB" w14:textId="01BC83EF" w:rsidR="00FB41CE" w:rsidRPr="000F168D" w:rsidRDefault="00FB41CE" w:rsidP="00FB41CE">
      <w:pPr>
        <w:jc w:val="center"/>
        <w:rPr>
          <w:b/>
          <w:bCs/>
          <w:lang w:eastAsia="de-DE"/>
        </w:rPr>
      </w:pPr>
      <w:r w:rsidRPr="000F168D">
        <w:rPr>
          <w:b/>
          <w:bCs/>
          <w:lang w:eastAsia="de-DE"/>
        </w:rPr>
        <w:t>Titoktartási nyilatkozat</w:t>
      </w:r>
    </w:p>
    <w:p w14:paraId="1A1CDB75" w14:textId="601BDD8F" w:rsidR="00FB41CE" w:rsidRPr="000F168D" w:rsidRDefault="00FB41CE" w:rsidP="00FB41CE">
      <w:pPr>
        <w:jc w:val="right"/>
        <w:rPr>
          <w:lang w:eastAsia="de-DE"/>
        </w:rPr>
      </w:pPr>
    </w:p>
    <w:tbl>
      <w:tblPr>
        <w:tblStyle w:val="Tblzategyszer1"/>
        <w:tblW w:w="0" w:type="auto"/>
        <w:tblLook w:val="04A0" w:firstRow="1" w:lastRow="0" w:firstColumn="1" w:lastColumn="0" w:noHBand="0" w:noVBand="1"/>
      </w:tblPr>
      <w:tblGrid>
        <w:gridCol w:w="1696"/>
        <w:gridCol w:w="7366"/>
      </w:tblGrid>
      <w:tr w:rsidR="00ED749F" w:rsidRPr="000F168D" w14:paraId="1B6E1A23" w14:textId="77777777" w:rsidTr="00ED7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11BB891" w14:textId="53139643" w:rsidR="00ED749F" w:rsidRPr="000F168D" w:rsidRDefault="00ED749F" w:rsidP="00ED749F">
            <w:pPr>
              <w:jc w:val="center"/>
              <w:rPr>
                <w:color w:val="000000"/>
              </w:rPr>
            </w:pPr>
            <w:r w:rsidRPr="000F168D">
              <w:rPr>
                <w:color w:val="000000"/>
              </w:rPr>
              <w:t>Név:</w:t>
            </w:r>
          </w:p>
        </w:tc>
        <w:tc>
          <w:tcPr>
            <w:tcW w:w="7366" w:type="dxa"/>
          </w:tcPr>
          <w:p w14:paraId="7F848EFA" w14:textId="77777777" w:rsidR="00ED749F" w:rsidRPr="000F168D" w:rsidRDefault="00ED749F" w:rsidP="00732D1D">
            <w:pPr>
              <w:jc w:val="both"/>
              <w:cnfStyle w:val="100000000000" w:firstRow="1" w:lastRow="0" w:firstColumn="0" w:lastColumn="0" w:oddVBand="0" w:evenVBand="0" w:oddHBand="0" w:evenHBand="0" w:firstRowFirstColumn="0" w:firstRowLastColumn="0" w:lastRowFirstColumn="0" w:lastRowLastColumn="0"/>
              <w:rPr>
                <w:color w:val="000000"/>
              </w:rPr>
            </w:pPr>
          </w:p>
        </w:tc>
      </w:tr>
      <w:tr w:rsidR="00ED749F" w:rsidRPr="000F168D" w14:paraId="1E9D0034" w14:textId="77777777" w:rsidTr="00ED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9ED7A38" w14:textId="6CB2B173" w:rsidR="00ED749F" w:rsidRPr="000F168D" w:rsidRDefault="00ED749F" w:rsidP="00ED749F">
            <w:pPr>
              <w:jc w:val="center"/>
              <w:rPr>
                <w:color w:val="000000"/>
              </w:rPr>
            </w:pPr>
            <w:r w:rsidRPr="000F168D">
              <w:rPr>
                <w:color w:val="000000"/>
              </w:rPr>
              <w:t>Lakcím:</w:t>
            </w:r>
          </w:p>
        </w:tc>
        <w:tc>
          <w:tcPr>
            <w:tcW w:w="7366" w:type="dxa"/>
          </w:tcPr>
          <w:p w14:paraId="56769773" w14:textId="77777777" w:rsidR="00ED749F" w:rsidRPr="000F168D" w:rsidRDefault="00ED749F" w:rsidP="00732D1D">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ED749F" w:rsidRPr="000F168D" w14:paraId="737488DC" w14:textId="77777777" w:rsidTr="00ED749F">
        <w:tc>
          <w:tcPr>
            <w:cnfStyle w:val="001000000000" w:firstRow="0" w:lastRow="0" w:firstColumn="1" w:lastColumn="0" w:oddVBand="0" w:evenVBand="0" w:oddHBand="0" w:evenHBand="0" w:firstRowFirstColumn="0" w:firstRowLastColumn="0" w:lastRowFirstColumn="0" w:lastRowLastColumn="0"/>
            <w:tcW w:w="1696" w:type="dxa"/>
          </w:tcPr>
          <w:p w14:paraId="081D942D" w14:textId="000F434E" w:rsidR="00ED749F" w:rsidRPr="000F168D" w:rsidRDefault="00ED749F" w:rsidP="00ED749F">
            <w:pPr>
              <w:jc w:val="center"/>
              <w:rPr>
                <w:color w:val="000000"/>
              </w:rPr>
            </w:pPr>
            <w:r w:rsidRPr="000F168D">
              <w:rPr>
                <w:color w:val="000000"/>
              </w:rPr>
              <w:t>Anyja neve:</w:t>
            </w:r>
          </w:p>
        </w:tc>
        <w:tc>
          <w:tcPr>
            <w:tcW w:w="7366" w:type="dxa"/>
          </w:tcPr>
          <w:p w14:paraId="71CA282F" w14:textId="77777777" w:rsidR="00ED749F" w:rsidRPr="000F168D" w:rsidRDefault="00ED749F" w:rsidP="00732D1D">
            <w:pPr>
              <w:jc w:val="both"/>
              <w:cnfStyle w:val="000000000000" w:firstRow="0" w:lastRow="0" w:firstColumn="0" w:lastColumn="0" w:oddVBand="0" w:evenVBand="0" w:oddHBand="0" w:evenHBand="0" w:firstRowFirstColumn="0" w:firstRowLastColumn="0" w:lastRowFirstColumn="0" w:lastRowLastColumn="0"/>
              <w:rPr>
                <w:color w:val="000000"/>
              </w:rPr>
            </w:pPr>
          </w:p>
        </w:tc>
      </w:tr>
    </w:tbl>
    <w:p w14:paraId="222C650F" w14:textId="77777777" w:rsidR="00FB41CE" w:rsidRPr="000F168D" w:rsidRDefault="00FB41CE" w:rsidP="00732D1D">
      <w:pPr>
        <w:jc w:val="both"/>
        <w:rPr>
          <w:color w:val="000000"/>
        </w:rPr>
      </w:pPr>
    </w:p>
    <w:p w14:paraId="51189E30" w14:textId="4780C338" w:rsidR="00ED749F" w:rsidRPr="000F168D" w:rsidRDefault="00ED749F" w:rsidP="00732D1D">
      <w:pPr>
        <w:jc w:val="both"/>
        <w:rPr>
          <w:color w:val="000000"/>
        </w:rPr>
      </w:pPr>
      <w:r w:rsidRPr="000F168D">
        <w:rPr>
          <w:color w:val="000000"/>
        </w:rPr>
        <w:t>Alulírott kijelentem, hogy a belső visszaélésbejelentés eljárásrendjét, illetve az adatkezelés szabályait megismertem.</w:t>
      </w:r>
    </w:p>
    <w:p w14:paraId="4AFE1303" w14:textId="77777777" w:rsidR="00ED749F" w:rsidRPr="000F168D" w:rsidRDefault="00ED749F" w:rsidP="00732D1D">
      <w:pPr>
        <w:jc w:val="both"/>
        <w:rPr>
          <w:color w:val="000000"/>
        </w:rPr>
      </w:pPr>
    </w:p>
    <w:p w14:paraId="0B3B5E5A" w14:textId="6BCFDD24" w:rsidR="00ED749F" w:rsidRPr="000F168D" w:rsidRDefault="00ED749F" w:rsidP="00732D1D">
      <w:pPr>
        <w:jc w:val="both"/>
        <w:rPr>
          <w:color w:val="000000"/>
        </w:rPr>
      </w:pPr>
      <w:r w:rsidRPr="000F168D">
        <w:rPr>
          <w:color w:val="000000"/>
        </w:rPr>
        <w:t>Kijelentem továbbá, hogy a visszaélés-bejelentéssel összefüggő személyes adatokat, információkat, körülményeket időbeli korlátozás nélkül titokban tartom, és azokat kizárólag a bejelentés kivizsgálása céljából kezelem, más számára hozzáférhetővé nem teszem.</w:t>
      </w:r>
    </w:p>
    <w:p w14:paraId="28E8AB83" w14:textId="77777777" w:rsidR="00ED749F" w:rsidRPr="000F168D" w:rsidRDefault="00ED749F" w:rsidP="00732D1D">
      <w:pPr>
        <w:jc w:val="both"/>
        <w:rPr>
          <w:color w:val="000000"/>
        </w:rPr>
      </w:pPr>
    </w:p>
    <w:p w14:paraId="3EE044C0" w14:textId="34BA4C79" w:rsidR="00ED749F" w:rsidRPr="000F168D" w:rsidRDefault="00ED749F" w:rsidP="00732D1D">
      <w:pPr>
        <w:jc w:val="both"/>
        <w:rPr>
          <w:color w:val="000000"/>
        </w:rPr>
      </w:pPr>
      <w:r w:rsidRPr="000F168D">
        <w:rPr>
          <w:color w:val="000000"/>
        </w:rPr>
        <w:t>Tudomásul veszem, hogy a fenti kötelezettségek megsértése súlyos kötelezettségszegésnek minősül, illetve polgári jogi, büntetőjogi felelősséggel is járhat.</w:t>
      </w:r>
    </w:p>
    <w:p w14:paraId="3038FF80" w14:textId="77777777" w:rsidR="00ED749F" w:rsidRPr="000F168D" w:rsidRDefault="00ED749F" w:rsidP="00732D1D">
      <w:pPr>
        <w:jc w:val="both"/>
        <w:rPr>
          <w:color w:val="000000"/>
        </w:rPr>
      </w:pPr>
    </w:p>
    <w:p w14:paraId="69E44F48" w14:textId="08B9E864" w:rsidR="00ED749F" w:rsidRPr="000F168D" w:rsidRDefault="00ED749F" w:rsidP="00732D1D">
      <w:pPr>
        <w:jc w:val="both"/>
        <w:rPr>
          <w:color w:val="000000"/>
        </w:rPr>
      </w:pPr>
      <w:r w:rsidRPr="000F168D">
        <w:rPr>
          <w:color w:val="000000"/>
        </w:rPr>
        <w:t>..........................., ...........................................</w:t>
      </w:r>
    </w:p>
    <w:p w14:paraId="740B095C" w14:textId="77777777" w:rsidR="00ED749F" w:rsidRPr="000F168D" w:rsidRDefault="00ED749F" w:rsidP="00732D1D">
      <w:pPr>
        <w:jc w:val="both"/>
        <w:rPr>
          <w:color w:val="000000"/>
        </w:rPr>
      </w:pPr>
    </w:p>
    <w:p w14:paraId="1B6923E6" w14:textId="2C4ADAF5" w:rsidR="00ED749F" w:rsidRPr="000F168D" w:rsidRDefault="00ED749F" w:rsidP="00ED749F">
      <w:pPr>
        <w:jc w:val="center"/>
        <w:rPr>
          <w:color w:val="000000"/>
        </w:rPr>
      </w:pPr>
      <w:r w:rsidRPr="000F168D">
        <w:rPr>
          <w:color w:val="000000"/>
        </w:rPr>
        <w:t>.................................................................</w:t>
      </w:r>
    </w:p>
    <w:p w14:paraId="16B2BC66" w14:textId="77777777" w:rsidR="00EB3306" w:rsidRPr="000F168D" w:rsidRDefault="00ED749F" w:rsidP="00EB3306">
      <w:pPr>
        <w:jc w:val="center"/>
        <w:rPr>
          <w:b/>
          <w:bCs/>
          <w:color w:val="000000"/>
        </w:rPr>
      </w:pPr>
      <w:r w:rsidRPr="000F168D">
        <w:rPr>
          <w:b/>
          <w:bCs/>
          <w:color w:val="000000"/>
        </w:rPr>
        <w:t>Nyilatkozattevő aláírása</w:t>
      </w:r>
    </w:p>
    <w:p w14:paraId="54B80CE2" w14:textId="77777777" w:rsidR="0094364B" w:rsidRPr="000F168D" w:rsidRDefault="0094364B" w:rsidP="00EB3306">
      <w:pPr>
        <w:jc w:val="center"/>
        <w:rPr>
          <w:b/>
          <w:bCs/>
          <w:color w:val="000000"/>
        </w:rPr>
      </w:pPr>
    </w:p>
    <w:p w14:paraId="44408FC2" w14:textId="54AF2B96" w:rsidR="00B1699F" w:rsidRPr="000F168D" w:rsidRDefault="00B1699F">
      <w:pPr>
        <w:spacing w:after="160" w:line="259" w:lineRule="auto"/>
        <w:rPr>
          <w:b/>
          <w:bCs/>
          <w:color w:val="000000"/>
        </w:rPr>
      </w:pPr>
      <w:r w:rsidRPr="000F168D">
        <w:rPr>
          <w:b/>
          <w:bCs/>
          <w:color w:val="000000"/>
        </w:rPr>
        <w:br w:type="page"/>
      </w:r>
    </w:p>
    <w:p w14:paraId="5F280E61" w14:textId="77777777" w:rsidR="0094364B" w:rsidRPr="000F168D" w:rsidRDefault="0094364B" w:rsidP="00EB3306">
      <w:pPr>
        <w:jc w:val="center"/>
        <w:rPr>
          <w:b/>
          <w:bCs/>
          <w:color w:val="000000"/>
        </w:rPr>
      </w:pPr>
    </w:p>
    <w:p w14:paraId="3D317871" w14:textId="77777777" w:rsidR="0094364B" w:rsidRPr="000F168D" w:rsidRDefault="0094364B" w:rsidP="00EB3306">
      <w:pPr>
        <w:jc w:val="center"/>
        <w:rPr>
          <w:b/>
          <w:bCs/>
          <w:color w:val="000000"/>
        </w:rPr>
      </w:pPr>
    </w:p>
    <w:p w14:paraId="10EB710E" w14:textId="36B79DE7" w:rsidR="00EB3306" w:rsidRPr="000F168D" w:rsidRDefault="00EB3306" w:rsidP="00EB3306">
      <w:pPr>
        <w:jc w:val="center"/>
        <w:rPr>
          <w:b/>
          <w:bCs/>
          <w:color w:val="000000"/>
        </w:rPr>
      </w:pPr>
      <w:r w:rsidRPr="000F168D">
        <w:rPr>
          <w:b/>
          <w:bCs/>
          <w:color w:val="000000"/>
        </w:rPr>
        <w:t>6.sz. melléklet</w:t>
      </w:r>
    </w:p>
    <w:p w14:paraId="41507F1B" w14:textId="0F6334D6" w:rsidR="005675F6" w:rsidRPr="000F168D" w:rsidRDefault="00EB3306" w:rsidP="00EB3306">
      <w:pPr>
        <w:jc w:val="center"/>
        <w:rPr>
          <w:b/>
          <w:bCs/>
          <w:color w:val="000000"/>
        </w:rPr>
      </w:pPr>
      <w:r w:rsidRPr="000F168D">
        <w:rPr>
          <w:b/>
          <w:bCs/>
          <w:lang w:eastAsia="de-DE"/>
        </w:rPr>
        <w:t>S</w:t>
      </w:r>
      <w:r w:rsidR="005675F6" w:rsidRPr="000F168D">
        <w:rPr>
          <w:b/>
          <w:bCs/>
          <w:lang w:eastAsia="de-DE"/>
        </w:rPr>
        <w:t>zerződéses klauzula</w:t>
      </w:r>
    </w:p>
    <w:p w14:paraId="6615D145" w14:textId="77777777" w:rsidR="00425BE0" w:rsidRPr="000F168D" w:rsidRDefault="00425BE0" w:rsidP="00425BE0">
      <w:pPr>
        <w:jc w:val="right"/>
        <w:rPr>
          <w:lang w:eastAsia="de-DE"/>
        </w:rPr>
      </w:pPr>
    </w:p>
    <w:p w14:paraId="23833853" w14:textId="13473542" w:rsidR="0049259C" w:rsidRPr="000F168D" w:rsidRDefault="0049259C" w:rsidP="0049259C">
      <w:pPr>
        <w:pStyle w:val="Listaszerbekezds"/>
        <w:ind w:left="0"/>
        <w:jc w:val="both"/>
        <w:rPr>
          <w:color w:val="000000"/>
        </w:rPr>
      </w:pPr>
      <w:r w:rsidRPr="000F168D">
        <w:rPr>
          <w:lang w:eastAsia="de-DE"/>
        </w:rPr>
        <w:t>A</w:t>
      </w:r>
      <w:r w:rsidRPr="000F168D">
        <w:t xml:space="preserve"> Csillagászati és Földtudományi Kutatóközpont, mint .......................... (szerződéses pozíció megjelölése) tájékoztatja a ......................................, mint .......................................... (</w:t>
      </w:r>
      <w:r w:rsidRPr="000F168D">
        <w:rPr>
          <w:color w:val="7F7F7F" w:themeColor="text1" w:themeTint="80"/>
        </w:rPr>
        <w:t>szerződő fél és pozíciója megnevezése</w:t>
      </w:r>
      <w:r w:rsidRPr="000F168D">
        <w:t xml:space="preserve">), hogy </w:t>
      </w:r>
      <w:r w:rsidRPr="000F168D">
        <w:rPr>
          <w:color w:val="000000"/>
        </w:rPr>
        <w:t>a panaszokról, a közérdekű bejelentésekről, valamint a visszaélések bejelentésével összefüggő szabályokról szóló 2023. évi XXV. törvényben (lásd: Panasztörvényben) foglaltak értelmében visszaélés-bejelentési rendszert működtet, egyben arról is tájékoztatja szerződő partnerét, hogy a törvény 20. § (3) bekezdése alapján a Panasztörvény rendelkezései jogviszonyunkra is irányadóak.</w:t>
      </w:r>
    </w:p>
    <w:p w14:paraId="7C147D46" w14:textId="77777777" w:rsidR="0049259C" w:rsidRPr="000F168D" w:rsidRDefault="0049259C" w:rsidP="0049259C">
      <w:pPr>
        <w:pStyle w:val="Listaszerbekezds"/>
        <w:ind w:left="0"/>
        <w:jc w:val="both"/>
        <w:rPr>
          <w:color w:val="000000"/>
        </w:rPr>
      </w:pPr>
    </w:p>
    <w:p w14:paraId="3916DE51" w14:textId="77777777" w:rsidR="0049259C" w:rsidRPr="000F168D" w:rsidRDefault="0049259C" w:rsidP="0049259C">
      <w:pPr>
        <w:jc w:val="both"/>
      </w:pPr>
      <w:r w:rsidRPr="000F168D">
        <w:rPr>
          <w:color w:val="000000"/>
        </w:rPr>
        <w:t xml:space="preserve">Szerződő felek tudomással bírnak továbbá arról is, hogy </w:t>
      </w:r>
      <w:r w:rsidRPr="000F168D">
        <w:t>hatósági vagy bírósági eljárás során a bejelentővédelmi jogokat korlátozó vagy kizáró nyilatkozatra, szerződésre, szabályzatra jogszerűen hivatkozni nem lehet (Panasztörvény 44. §).</w:t>
      </w:r>
    </w:p>
    <w:p w14:paraId="512D750F" w14:textId="1EBC86DE" w:rsidR="00B1699F" w:rsidRPr="000F168D" w:rsidRDefault="00B1699F">
      <w:pPr>
        <w:spacing w:after="160" w:line="259" w:lineRule="auto"/>
        <w:rPr>
          <w:b/>
          <w:lang w:eastAsia="de-DE"/>
        </w:rPr>
      </w:pPr>
      <w:r w:rsidRPr="000F168D">
        <w:rPr>
          <w:b/>
          <w:lang w:eastAsia="de-DE"/>
        </w:rPr>
        <w:br w:type="page"/>
      </w:r>
    </w:p>
    <w:p w14:paraId="418EAE24" w14:textId="77777777" w:rsidR="005675F6" w:rsidRPr="000F168D" w:rsidRDefault="005675F6" w:rsidP="007F1DAD">
      <w:pPr>
        <w:rPr>
          <w:b/>
          <w:lang w:eastAsia="de-DE"/>
        </w:rPr>
      </w:pPr>
    </w:p>
    <w:p w14:paraId="43CC2105" w14:textId="091BA472" w:rsidR="005675F6" w:rsidRPr="000F168D" w:rsidRDefault="005675F6" w:rsidP="007F1DAD">
      <w:pPr>
        <w:rPr>
          <w:b/>
          <w:lang w:eastAsia="de-DE"/>
        </w:rPr>
      </w:pPr>
    </w:p>
    <w:p w14:paraId="048064E9" w14:textId="59C6A76C" w:rsidR="005675F6" w:rsidRPr="000F168D" w:rsidRDefault="00ED749F" w:rsidP="00ED749F">
      <w:pPr>
        <w:jc w:val="center"/>
        <w:rPr>
          <w:b/>
          <w:lang w:eastAsia="de-DE"/>
        </w:rPr>
      </w:pPr>
      <w:r w:rsidRPr="000F168D">
        <w:rPr>
          <w:b/>
          <w:lang w:eastAsia="de-DE"/>
        </w:rPr>
        <w:t>7.sz. melléklet</w:t>
      </w:r>
    </w:p>
    <w:p w14:paraId="06DF246B" w14:textId="2027F338" w:rsidR="00ED749F" w:rsidRPr="000F168D" w:rsidRDefault="00ED749F" w:rsidP="00ED749F">
      <w:pPr>
        <w:jc w:val="center"/>
        <w:rPr>
          <w:b/>
          <w:lang w:eastAsia="de-DE"/>
        </w:rPr>
      </w:pPr>
      <w:r w:rsidRPr="000F168D">
        <w:rPr>
          <w:b/>
          <w:lang w:eastAsia="de-DE"/>
        </w:rPr>
        <w:t>Adatkezelési tájékoztató</w:t>
      </w:r>
    </w:p>
    <w:p w14:paraId="7CBC1230" w14:textId="5612B1C0" w:rsidR="005675F6" w:rsidRPr="000F168D" w:rsidRDefault="005675F6" w:rsidP="007F1DAD">
      <w:pPr>
        <w:rPr>
          <w:b/>
          <w:lang w:eastAsia="de-DE"/>
        </w:rPr>
      </w:pPr>
    </w:p>
    <w:p w14:paraId="2639E566" w14:textId="77777777" w:rsidR="005675F6" w:rsidRPr="000F168D" w:rsidRDefault="005675F6" w:rsidP="007F1DAD">
      <w:pPr>
        <w:rPr>
          <w:b/>
          <w:lang w:eastAsia="de-DE"/>
        </w:rPr>
      </w:pPr>
    </w:p>
    <w:p w14:paraId="1DC1C878" w14:textId="77777777" w:rsidR="00ED749F" w:rsidRPr="000F168D" w:rsidRDefault="00ED749F" w:rsidP="00ED749F">
      <w:pPr>
        <w:jc w:val="center"/>
        <w:rPr>
          <w:b/>
          <w:bCs/>
          <w:color w:val="002060"/>
        </w:rPr>
      </w:pPr>
      <w:r w:rsidRPr="000F168D">
        <w:rPr>
          <w:b/>
          <w:bCs/>
          <w:color w:val="002060"/>
        </w:rPr>
        <w:t xml:space="preserve">ADATKEZELÉSI TÁJÉKOZTATÓ </w:t>
      </w:r>
    </w:p>
    <w:p w14:paraId="2E346B3A" w14:textId="77777777" w:rsidR="00ED749F" w:rsidRPr="000F168D" w:rsidRDefault="00ED749F" w:rsidP="00ED749F">
      <w:pPr>
        <w:jc w:val="center"/>
        <w:rPr>
          <w:b/>
          <w:bCs/>
          <w:color w:val="002060"/>
        </w:rPr>
      </w:pPr>
      <w:r w:rsidRPr="000F168D">
        <w:rPr>
          <w:b/>
          <w:bCs/>
          <w:color w:val="002060"/>
        </w:rPr>
        <w:t>VISSZAÉLÉS-BEJELENTÉSSEL ÖSSZEFÜGGŐ ADATKEZELÉSEK</w:t>
      </w:r>
    </w:p>
    <w:p w14:paraId="2C025C6C" w14:textId="77777777" w:rsidR="00ED749F" w:rsidRPr="000F168D" w:rsidRDefault="00ED749F" w:rsidP="00ED749F">
      <w:pPr>
        <w:jc w:val="center"/>
        <w:rPr>
          <w:b/>
          <w:bCs/>
          <w:color w:val="002060"/>
        </w:rPr>
      </w:pPr>
    </w:p>
    <w:tbl>
      <w:tblPr>
        <w:tblStyle w:val="Tblzategyszer1"/>
        <w:tblW w:w="0" w:type="auto"/>
        <w:tblLook w:val="04A0" w:firstRow="1" w:lastRow="0" w:firstColumn="1" w:lastColumn="0" w:noHBand="0" w:noVBand="1"/>
      </w:tblPr>
      <w:tblGrid>
        <w:gridCol w:w="2689"/>
        <w:gridCol w:w="6372"/>
      </w:tblGrid>
      <w:tr w:rsidR="00ED749F" w:rsidRPr="000F168D" w14:paraId="7A59F0BA" w14:textId="77777777" w:rsidTr="00337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1A07898" w14:textId="77777777" w:rsidR="00ED749F" w:rsidRPr="000F168D" w:rsidRDefault="00ED749F" w:rsidP="003378BB">
            <w:pPr>
              <w:jc w:val="center"/>
              <w:rPr>
                <w:b w:val="0"/>
                <w:bCs w:val="0"/>
                <w:noProof/>
              </w:rPr>
            </w:pPr>
            <w:r w:rsidRPr="000F168D">
              <w:rPr>
                <w:noProof/>
              </w:rPr>
              <w:t>Név:</w:t>
            </w:r>
          </w:p>
        </w:tc>
        <w:tc>
          <w:tcPr>
            <w:tcW w:w="6372" w:type="dxa"/>
          </w:tcPr>
          <w:p w14:paraId="343F457F" w14:textId="0CD8DFBB" w:rsidR="00ED749F" w:rsidRPr="000F168D" w:rsidRDefault="00EB3306" w:rsidP="003378BB">
            <w:pPr>
              <w:jc w:val="center"/>
              <w:cnfStyle w:val="100000000000" w:firstRow="1" w:lastRow="0" w:firstColumn="0" w:lastColumn="0" w:oddVBand="0" w:evenVBand="0" w:oddHBand="0" w:evenHBand="0" w:firstRowFirstColumn="0" w:firstRowLastColumn="0" w:lastRowFirstColumn="0" w:lastRowLastColumn="0"/>
              <w:rPr>
                <w:b w:val="0"/>
                <w:bCs w:val="0"/>
                <w:noProof/>
              </w:rPr>
            </w:pPr>
            <w:r w:rsidRPr="000F168D">
              <w:rPr>
                <w:noProof/>
              </w:rPr>
              <w:t>Csillagászati és Földtudományi Kutatóközpont</w:t>
            </w:r>
            <w:r w:rsidR="00ED749F" w:rsidRPr="000F168D">
              <w:rPr>
                <w:noProof/>
              </w:rPr>
              <w:t xml:space="preserve"> </w:t>
            </w:r>
          </w:p>
        </w:tc>
      </w:tr>
      <w:tr w:rsidR="00ED749F" w:rsidRPr="000F168D" w14:paraId="18DEE467" w14:textId="77777777" w:rsidTr="0033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774F65F" w14:textId="77777777" w:rsidR="00ED749F" w:rsidRPr="000F168D" w:rsidRDefault="00ED749F" w:rsidP="003378BB">
            <w:pPr>
              <w:jc w:val="center"/>
              <w:rPr>
                <w:bCs w:val="0"/>
                <w:noProof/>
              </w:rPr>
            </w:pPr>
            <w:r w:rsidRPr="000F168D">
              <w:rPr>
                <w:noProof/>
              </w:rPr>
              <w:t xml:space="preserve">Székhely: </w:t>
            </w:r>
          </w:p>
        </w:tc>
        <w:tc>
          <w:tcPr>
            <w:tcW w:w="6372" w:type="dxa"/>
          </w:tcPr>
          <w:p w14:paraId="0D1C7C72" w14:textId="6C794AA1" w:rsidR="00ED749F" w:rsidRPr="000F168D" w:rsidRDefault="00EB3306" w:rsidP="003378BB">
            <w:pPr>
              <w:jc w:val="center"/>
              <w:cnfStyle w:val="000000100000" w:firstRow="0" w:lastRow="0" w:firstColumn="0" w:lastColumn="0" w:oddVBand="0" w:evenVBand="0" w:oddHBand="1" w:evenHBand="0" w:firstRowFirstColumn="0" w:firstRowLastColumn="0" w:lastRowFirstColumn="0" w:lastRowLastColumn="0"/>
              <w:rPr>
                <w:bCs/>
                <w:noProof/>
              </w:rPr>
            </w:pPr>
            <w:r w:rsidRPr="000F168D">
              <w:rPr>
                <w:bCs/>
                <w:noProof/>
              </w:rPr>
              <w:t>1121 Budapest, Konkoly Thege Miklós u. 15-17.</w:t>
            </w:r>
          </w:p>
        </w:tc>
      </w:tr>
      <w:tr w:rsidR="00ED749F" w:rsidRPr="000F168D" w14:paraId="3B7A5E07" w14:textId="77777777" w:rsidTr="003378BB">
        <w:tc>
          <w:tcPr>
            <w:cnfStyle w:val="001000000000" w:firstRow="0" w:lastRow="0" w:firstColumn="1" w:lastColumn="0" w:oddVBand="0" w:evenVBand="0" w:oddHBand="0" w:evenHBand="0" w:firstRowFirstColumn="0" w:firstRowLastColumn="0" w:lastRowFirstColumn="0" w:lastRowLastColumn="0"/>
            <w:tcW w:w="2689" w:type="dxa"/>
          </w:tcPr>
          <w:p w14:paraId="39ED05BB" w14:textId="32D63C5D" w:rsidR="00ED749F" w:rsidRPr="000F168D" w:rsidRDefault="00ED749F" w:rsidP="003378BB">
            <w:pPr>
              <w:jc w:val="center"/>
              <w:rPr>
                <w:bCs w:val="0"/>
                <w:noProof/>
              </w:rPr>
            </w:pPr>
            <w:r w:rsidRPr="000F168D">
              <w:rPr>
                <w:noProof/>
              </w:rPr>
              <w:t>Törzskönyvi azonosító szám</w:t>
            </w:r>
          </w:p>
        </w:tc>
        <w:tc>
          <w:tcPr>
            <w:tcW w:w="6372" w:type="dxa"/>
          </w:tcPr>
          <w:p w14:paraId="5501A741" w14:textId="25450687" w:rsidR="00ED749F" w:rsidRPr="000F168D" w:rsidRDefault="00EB3306" w:rsidP="003378BB">
            <w:pPr>
              <w:jc w:val="center"/>
              <w:cnfStyle w:val="000000000000" w:firstRow="0" w:lastRow="0" w:firstColumn="0" w:lastColumn="0" w:oddVBand="0" w:evenVBand="0" w:oddHBand="0" w:evenHBand="0" w:firstRowFirstColumn="0" w:firstRowLastColumn="0" w:lastRowFirstColumn="0" w:lastRowLastColumn="0"/>
              <w:rPr>
                <w:bCs/>
                <w:noProof/>
              </w:rPr>
            </w:pPr>
            <w:r w:rsidRPr="000F168D">
              <w:rPr>
                <w:bCs/>
                <w:noProof/>
              </w:rPr>
              <w:t>300322</w:t>
            </w:r>
          </w:p>
        </w:tc>
      </w:tr>
      <w:tr w:rsidR="00ED749F" w:rsidRPr="000F168D" w14:paraId="3A555F8F" w14:textId="77777777" w:rsidTr="0033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50E19F7" w14:textId="78A2F5F9" w:rsidR="00ED749F" w:rsidRPr="000F168D" w:rsidRDefault="00ED749F" w:rsidP="003378BB">
            <w:pPr>
              <w:jc w:val="center"/>
              <w:rPr>
                <w:noProof/>
              </w:rPr>
            </w:pPr>
            <w:r w:rsidRPr="000F168D">
              <w:rPr>
                <w:noProof/>
              </w:rPr>
              <w:t>Törvényes képviselő:</w:t>
            </w:r>
          </w:p>
        </w:tc>
        <w:tc>
          <w:tcPr>
            <w:tcW w:w="6372" w:type="dxa"/>
          </w:tcPr>
          <w:p w14:paraId="1906F0EC" w14:textId="62AACBA9" w:rsidR="00ED749F" w:rsidRPr="000F168D" w:rsidRDefault="00EB3306" w:rsidP="003378BB">
            <w:pPr>
              <w:jc w:val="center"/>
              <w:cnfStyle w:val="000000100000" w:firstRow="0" w:lastRow="0" w:firstColumn="0" w:lastColumn="0" w:oddVBand="0" w:evenVBand="0" w:oddHBand="1" w:evenHBand="0" w:firstRowFirstColumn="0" w:firstRowLastColumn="0" w:lastRowFirstColumn="0" w:lastRowLastColumn="0"/>
              <w:rPr>
                <w:bCs/>
                <w:noProof/>
              </w:rPr>
            </w:pPr>
            <w:r w:rsidRPr="000F168D">
              <w:rPr>
                <w:bCs/>
                <w:noProof/>
              </w:rPr>
              <w:t>Dr. Kiss László főigazgató</w:t>
            </w:r>
          </w:p>
        </w:tc>
      </w:tr>
    </w:tbl>
    <w:p w14:paraId="68D86DA2" w14:textId="77777777" w:rsidR="00ED749F" w:rsidRPr="000F168D" w:rsidRDefault="00ED749F" w:rsidP="00ED749F">
      <w:pPr>
        <w:pStyle w:val="cf0"/>
        <w:spacing w:before="0" w:beforeAutospacing="0" w:after="0" w:afterAutospacing="0"/>
        <w:jc w:val="both"/>
      </w:pPr>
    </w:p>
    <w:p w14:paraId="364F277A" w14:textId="0916B488" w:rsidR="00ED749F" w:rsidRPr="000F168D" w:rsidRDefault="00ED749F" w:rsidP="00ED749F">
      <w:pPr>
        <w:pStyle w:val="cf0"/>
        <w:spacing w:before="0" w:beforeAutospacing="0" w:after="0" w:afterAutospacing="0"/>
        <w:jc w:val="both"/>
      </w:pPr>
      <w:r w:rsidRPr="000F168D">
        <w:t xml:space="preserve">Az uniós jog megsértését bejelentő személyek védelméről szóló </w:t>
      </w:r>
      <w:hyperlink r:id="rId8" w:history="1">
        <w:r w:rsidRPr="000F168D">
          <w:rPr>
            <w:rStyle w:val="Hiperhivatkozs"/>
          </w:rPr>
          <w:t>2019/1937. számú európai parlamenti és tanácsi irányelv</w:t>
        </w:r>
      </w:hyperlink>
      <w:r w:rsidRPr="000F168D">
        <w:t xml:space="preserve">ben (a továbbiakban: Irányelv), valamint a panaszokról, a közérdekű bejelentésekről, valamint a visszaélések bejelentésével összefüggő szabályokról szóló </w:t>
      </w:r>
      <w:hyperlink r:id="rId9" w:history="1">
        <w:r w:rsidRPr="000F168D">
          <w:rPr>
            <w:rStyle w:val="Hiperhivatkozs"/>
          </w:rPr>
          <w:t>2023. évi XXV. törvényben</w:t>
        </w:r>
      </w:hyperlink>
      <w:r w:rsidRPr="000F168D">
        <w:t xml:space="preserve"> (továbbiakban: Panasztörvény) foglaltaknak való megfelelés és a bejelentő személyek magas szintű védelmének biztosítása érdekében </w:t>
      </w:r>
      <w:r w:rsidRPr="000F168D">
        <w:rPr>
          <w:b/>
          <w:bCs/>
        </w:rPr>
        <w:t>a</w:t>
      </w:r>
      <w:r w:rsidR="000D5598" w:rsidRPr="000F168D">
        <w:rPr>
          <w:b/>
          <w:bCs/>
        </w:rPr>
        <w:t xml:space="preserve"> </w:t>
      </w:r>
      <w:r w:rsidR="00EB3306" w:rsidRPr="000F168D">
        <w:rPr>
          <w:b/>
          <w:bCs/>
        </w:rPr>
        <w:t>Csillagászati és Földtudományi Kutatóközpont</w:t>
      </w:r>
      <w:r w:rsidRPr="000F168D">
        <w:rPr>
          <w:b/>
          <w:bCs/>
        </w:rPr>
        <w:t xml:space="preserve"> belső visszaélés-bejelentési rendszert működtet, illetve ehhez kapcsolódóan személyes adatokat kezel.</w:t>
      </w:r>
      <w:r w:rsidRPr="000F168D">
        <w:t xml:space="preserve"> Az alábbiakban az adatkezelés fontosabb részleteit mutatjuk be:</w:t>
      </w:r>
    </w:p>
    <w:p w14:paraId="15AA352F" w14:textId="77777777" w:rsidR="00ED749F" w:rsidRPr="000F168D" w:rsidRDefault="00ED749F" w:rsidP="00ED749F">
      <w:pPr>
        <w:pStyle w:val="cf0"/>
        <w:spacing w:before="0" w:beforeAutospacing="0" w:after="0" w:afterAutospacing="0"/>
        <w:jc w:val="both"/>
      </w:pPr>
    </w:p>
    <w:p w14:paraId="3DC718F3" w14:textId="77777777" w:rsidR="00ED749F" w:rsidRPr="000F168D" w:rsidRDefault="00ED749F" w:rsidP="00ED749F">
      <w:pPr>
        <w:pStyle w:val="cf0"/>
        <w:spacing w:before="0" w:beforeAutospacing="0" w:after="0" w:afterAutospacing="0"/>
        <w:jc w:val="center"/>
        <w:rPr>
          <w:b/>
          <w:bCs/>
        </w:rPr>
      </w:pPr>
      <w:r w:rsidRPr="000F168D">
        <w:rPr>
          <w:b/>
          <w:bCs/>
        </w:rPr>
        <w:t>EZ AZ ADATKEZELÉS CÉLJA</w:t>
      </w:r>
    </w:p>
    <w:p w14:paraId="1A150A0E" w14:textId="107ACC6F" w:rsidR="00ED749F" w:rsidRPr="000F168D" w:rsidRDefault="0049259C" w:rsidP="00ED749F">
      <w:pPr>
        <w:pStyle w:val="cf0"/>
        <w:spacing w:before="0" w:beforeAutospacing="0" w:after="0" w:afterAutospacing="0"/>
        <w:jc w:val="both"/>
        <w:rPr>
          <w:b/>
          <w:bCs/>
        </w:rPr>
      </w:pPr>
      <w:r w:rsidRPr="000F168D">
        <w:t xml:space="preserve">Az adatkezelés célja az Európai Unió jogi normái megsértésének felderítése, a visszaélések megszűntetése, a felelősségre vonás kezdeményezése, egyben megelőző és a visszaéléseket orvosló intézkedések meghozatalára irányuló javaslatok megfogalmazása. </w:t>
      </w:r>
      <w:r w:rsidR="00ED749F" w:rsidRPr="000F168D">
        <w:rPr>
          <w:b/>
          <w:bCs/>
        </w:rPr>
        <w:t>A belső visszaélés-bejelentési rendszerben jogellenes vagy jogellenesnek feltételezett cselekményre vagy mulasztásra, illetve egyéb visszaélésre vonatkozó információt lehet bejelenteni.</w:t>
      </w:r>
    </w:p>
    <w:p w14:paraId="342F8484" w14:textId="77777777" w:rsidR="00ED749F" w:rsidRPr="000F168D" w:rsidRDefault="00ED749F" w:rsidP="00ED749F">
      <w:pPr>
        <w:pStyle w:val="cf0"/>
        <w:spacing w:before="0" w:beforeAutospacing="0" w:after="0" w:afterAutospacing="0"/>
        <w:jc w:val="both"/>
      </w:pPr>
    </w:p>
    <w:p w14:paraId="1DFB9618" w14:textId="77777777" w:rsidR="00ED749F" w:rsidRPr="000F168D" w:rsidRDefault="00ED749F" w:rsidP="00ED749F">
      <w:pPr>
        <w:pStyle w:val="cf0"/>
        <w:spacing w:before="0" w:beforeAutospacing="0" w:after="0" w:afterAutospacing="0"/>
        <w:jc w:val="center"/>
        <w:rPr>
          <w:b/>
          <w:bCs/>
        </w:rPr>
      </w:pPr>
      <w:r w:rsidRPr="000F168D">
        <w:rPr>
          <w:b/>
          <w:bCs/>
        </w:rPr>
        <w:t>AZ ADATKEZELÉS SZERVEZETI KERETEI</w:t>
      </w:r>
    </w:p>
    <w:p w14:paraId="57B9DDE6" w14:textId="255E9EA2" w:rsidR="00ED749F" w:rsidRPr="000F168D" w:rsidRDefault="00ED749F" w:rsidP="00ED749F">
      <w:pPr>
        <w:pStyle w:val="cf0"/>
        <w:spacing w:before="0" w:beforeAutospacing="0" w:after="0" w:afterAutospacing="0"/>
        <w:jc w:val="both"/>
      </w:pPr>
      <w:r w:rsidRPr="000F168D">
        <w:t xml:space="preserve">A </w:t>
      </w:r>
      <w:r w:rsidR="00EB3306" w:rsidRPr="000F168D">
        <w:t>Csillagászati és Földtudományi Kutatóközpont</w:t>
      </w:r>
      <w:r w:rsidRPr="000F168D">
        <w:t xml:space="preserve"> elkülönült visszaélés-bejelentési rendszerét a </w:t>
      </w:r>
      <w:r w:rsidRPr="000F168D">
        <w:rPr>
          <w:b/>
          <w:bCs/>
        </w:rPr>
        <w:t>belső</w:t>
      </w:r>
      <w:r w:rsidR="00EB3306" w:rsidRPr="000F168D">
        <w:rPr>
          <w:b/>
          <w:bCs/>
        </w:rPr>
        <w:t xml:space="preserve"> kontroll felelős</w:t>
      </w:r>
      <w:r w:rsidRPr="000F168D">
        <w:rPr>
          <w:b/>
          <w:bCs/>
        </w:rPr>
        <w:t xml:space="preserve"> </w:t>
      </w:r>
      <w:r w:rsidRPr="000F168D">
        <w:t>működteti</w:t>
      </w:r>
      <w:r w:rsidR="00EB3306" w:rsidRPr="000F168D">
        <w:t xml:space="preserve">, aki a feladatát </w:t>
      </w:r>
      <w:r w:rsidRPr="000F168D">
        <w:t>más feladataitól elkülönülten, független módon, titoktartási kötelezettség vállalásával látj</w:t>
      </w:r>
      <w:r w:rsidR="00EB3306" w:rsidRPr="000F168D">
        <w:t>a</w:t>
      </w:r>
      <w:r w:rsidRPr="000F168D">
        <w:t xml:space="preserve"> el.</w:t>
      </w:r>
    </w:p>
    <w:p w14:paraId="1082AFD4" w14:textId="77777777" w:rsidR="00ED749F" w:rsidRPr="000F168D" w:rsidRDefault="00ED749F" w:rsidP="00ED749F">
      <w:pPr>
        <w:pStyle w:val="cf0"/>
        <w:spacing w:before="0" w:beforeAutospacing="0" w:after="0" w:afterAutospacing="0"/>
        <w:jc w:val="both"/>
      </w:pPr>
    </w:p>
    <w:p w14:paraId="00A00161" w14:textId="77777777" w:rsidR="00ED749F" w:rsidRPr="000F168D" w:rsidRDefault="00ED749F" w:rsidP="00ED749F">
      <w:pPr>
        <w:pStyle w:val="cf0"/>
        <w:spacing w:before="0" w:beforeAutospacing="0" w:after="0" w:afterAutospacing="0"/>
        <w:jc w:val="both"/>
      </w:pPr>
      <w:r w:rsidRPr="000F168D">
        <w:t xml:space="preserve">A belső visszaélés-bejelentési rendszer </w:t>
      </w:r>
      <w:r w:rsidRPr="000F168D">
        <w:rPr>
          <w:b/>
          <w:bCs/>
        </w:rPr>
        <w:t>adataihoz kizárólag olyan személyek férnek hozzá</w:t>
      </w:r>
      <w:r w:rsidRPr="000F168D">
        <w:t xml:space="preserve">, akiknek a hozzáférése a bejelentés kivizsgálásával összefüggésben szükséges. Minden ettől eltérő adattovábbításhoz a bejelentő kifejezett hozzájárulása szükséges. A bejelentést kivizsgáló személyek a vizsgálat lezárásáig vagy a vizsgálat eredményeképpen történő formális felelősségre vonás kezdeményezéséig a bejelentés tartalmára és a bejelentésben érintett személyre vonatkozó információkat – a bejelentésben érintett személy tájékoztatásán túl – a foglalkoztató más szervezeti egységével vagy munkatársával a vizsgálat lefolytatásához feltétlenül szükséges mértékben oszthatják meg. </w:t>
      </w:r>
    </w:p>
    <w:p w14:paraId="38E7C670" w14:textId="77777777" w:rsidR="00ED749F" w:rsidRPr="000F168D" w:rsidRDefault="00ED749F" w:rsidP="00ED749F">
      <w:pPr>
        <w:pStyle w:val="cf0"/>
        <w:spacing w:before="0" w:beforeAutospacing="0" w:after="0" w:afterAutospacing="0"/>
        <w:jc w:val="both"/>
      </w:pPr>
    </w:p>
    <w:p w14:paraId="2EB47EC5" w14:textId="77777777" w:rsidR="00ED749F" w:rsidRPr="000F168D" w:rsidRDefault="00ED749F" w:rsidP="00ED749F">
      <w:pPr>
        <w:pStyle w:val="cf0"/>
        <w:spacing w:before="0" w:beforeAutospacing="0" w:after="0" w:afterAutospacing="0"/>
        <w:jc w:val="both"/>
      </w:pPr>
      <w:r w:rsidRPr="000F168D">
        <w:t xml:space="preserve">A </w:t>
      </w:r>
      <w:r w:rsidRPr="000F168D">
        <w:rPr>
          <w:b/>
          <w:bCs/>
        </w:rPr>
        <w:t>bejelentő személyes adatai</w:t>
      </w:r>
      <w:r w:rsidRPr="000F168D">
        <w:t xml:space="preserve"> – a rosszhiszemű bejelentés kivételével – csak a bejelentés alapján kezdeményezett eljárás lefolytatására hatáskörrel rendelkező szerv </w:t>
      </w:r>
      <w:r w:rsidRPr="000F168D">
        <w:rPr>
          <w:b/>
          <w:bCs/>
        </w:rPr>
        <w:t>részére adhatóak át</w:t>
      </w:r>
      <w:r w:rsidRPr="000F168D">
        <w:t xml:space="preserve">, ha e szerv annak kezelésére törvény alapján jogosult, vagy az adatai továbbításához a </w:t>
      </w:r>
      <w:r w:rsidRPr="000F168D">
        <w:lastRenderedPageBreak/>
        <w:t>bejelentő hozzájárult. A bejelentő személyes adatai hozzájárulása nélkül nem hozhatóak nyilvánosságra.</w:t>
      </w:r>
    </w:p>
    <w:p w14:paraId="5D701B5D" w14:textId="77777777" w:rsidR="00ED749F" w:rsidRPr="000F168D" w:rsidRDefault="00ED749F" w:rsidP="00ED749F">
      <w:pPr>
        <w:pStyle w:val="cf0"/>
        <w:spacing w:before="0" w:beforeAutospacing="0" w:after="0" w:afterAutospacing="0"/>
        <w:jc w:val="both"/>
      </w:pPr>
    </w:p>
    <w:p w14:paraId="30D6A9C9" w14:textId="77777777" w:rsidR="00ED749F" w:rsidRPr="000F168D" w:rsidRDefault="00ED749F" w:rsidP="00ED749F">
      <w:pPr>
        <w:pStyle w:val="cf0"/>
        <w:spacing w:before="0" w:beforeAutospacing="0" w:after="0" w:afterAutospacing="0"/>
        <w:jc w:val="both"/>
      </w:pPr>
      <w:r w:rsidRPr="000F168D">
        <w:t xml:space="preserve">A belső visszaélés-bejelentési rendszer keretei között kezelt adatok </w:t>
      </w:r>
      <w:r w:rsidRPr="000F168D">
        <w:rPr>
          <w:b/>
          <w:bCs/>
        </w:rPr>
        <w:t>harmadik országba vagy nemzetközi szervezet részére történő továbbítás</w:t>
      </w:r>
      <w:r w:rsidRPr="000F168D">
        <w:t>ára kizárólag a továbbítás címzettje által tett, a bejelentésre vonatkozó, e törvényben foglalt szabályok betartására irányuló jogi kötelezettségvállalás esetén és a személyes adatok védelmére vonatkozó előírások figyelembevételével kerülhet sor.</w:t>
      </w:r>
    </w:p>
    <w:p w14:paraId="48C8DE4D" w14:textId="77777777" w:rsidR="00B1699F" w:rsidRPr="000F168D" w:rsidRDefault="00B1699F" w:rsidP="00ED749F">
      <w:pPr>
        <w:pStyle w:val="cf0"/>
        <w:spacing w:before="0" w:beforeAutospacing="0" w:after="0" w:afterAutospacing="0"/>
        <w:jc w:val="both"/>
      </w:pPr>
    </w:p>
    <w:p w14:paraId="23DAD34F" w14:textId="77777777" w:rsidR="00B1699F" w:rsidRPr="000F168D" w:rsidRDefault="00B1699F" w:rsidP="00ED749F">
      <w:pPr>
        <w:pStyle w:val="cf0"/>
        <w:spacing w:before="0" w:beforeAutospacing="0" w:after="0" w:afterAutospacing="0"/>
        <w:jc w:val="both"/>
      </w:pPr>
    </w:p>
    <w:p w14:paraId="702F6B21" w14:textId="77777777" w:rsidR="00EB3306" w:rsidRPr="000F168D" w:rsidRDefault="00EB3306" w:rsidP="00EB3306">
      <w:pPr>
        <w:pStyle w:val="cf0"/>
        <w:spacing w:before="0" w:beforeAutospacing="0" w:after="0" w:afterAutospacing="0"/>
        <w:jc w:val="both"/>
      </w:pPr>
    </w:p>
    <w:p w14:paraId="4C569AB4" w14:textId="77777777" w:rsidR="00ED749F" w:rsidRPr="000F168D" w:rsidRDefault="00ED749F" w:rsidP="00ED749F">
      <w:pPr>
        <w:pStyle w:val="cf0"/>
        <w:spacing w:before="0" w:beforeAutospacing="0" w:after="0" w:afterAutospacing="0"/>
        <w:jc w:val="center"/>
        <w:rPr>
          <w:b/>
          <w:bCs/>
        </w:rPr>
      </w:pPr>
      <w:r w:rsidRPr="000F168D">
        <w:rPr>
          <w:b/>
          <w:bCs/>
        </w:rPr>
        <w:t>EZEN SZEMÉLYES ADATOKAT KEZELJÜK</w:t>
      </w:r>
    </w:p>
    <w:p w14:paraId="3179D33E" w14:textId="41F5714E" w:rsidR="00ED749F" w:rsidRPr="000F168D" w:rsidRDefault="00ED749F" w:rsidP="00ED749F">
      <w:pPr>
        <w:pStyle w:val="cf0"/>
        <w:spacing w:before="0" w:beforeAutospacing="0" w:after="0" w:afterAutospacing="0"/>
        <w:jc w:val="both"/>
      </w:pPr>
      <w:r w:rsidRPr="000F168D">
        <w:t xml:space="preserve">A belső visszaélés-bejelentési rendszer keretei között a bejelentőnek, annak a személynek, akinek a magatartása vagy mulasztása a bejelentésre okot adott, és annak a személynek, aki a bejelentésben foglaltakról érdemi információval rendelkezhet, a bejelentés kivizsgálásához elengedhetetlenül szükséges személyes adatai kizárólag a bejelentés kivizsgálása és a bejelentés tárgyát képező magatartás orvoslása vagy megszüntetése céljából kezelhetők. A </w:t>
      </w:r>
      <w:r w:rsidR="00EB3306" w:rsidRPr="000F168D">
        <w:t>Csillagászati és Földtudományi Kutatóközpont</w:t>
      </w:r>
      <w:r w:rsidRPr="000F168D">
        <w:t xml:space="preserve"> a személyes adatokat az eljárás valamennyi szakaszában bizalmasan kezeli.</w:t>
      </w:r>
    </w:p>
    <w:p w14:paraId="29A9C1EC" w14:textId="77777777" w:rsidR="00ED749F" w:rsidRPr="000F168D" w:rsidRDefault="00ED749F" w:rsidP="00ED749F">
      <w:pPr>
        <w:pStyle w:val="cf0"/>
        <w:jc w:val="both"/>
      </w:pPr>
      <w:r w:rsidRPr="000F168D">
        <w:t xml:space="preserve">Kezelhetőek továbbá a </w:t>
      </w:r>
      <w:r w:rsidRPr="000F168D">
        <w:rPr>
          <w:b/>
          <w:bCs/>
        </w:rPr>
        <w:t>rosszhiszemű bejelentés</w:t>
      </w:r>
      <w:r w:rsidRPr="000F168D">
        <w:t xml:space="preserve"> kivizsgálásával, illetve a szükséges lépések megtételével összefüggő személyes adatok is. Ha nyilvánvalóvá vált, hogy a bejelentő rosszhiszeműen, valótlan adatot vagy információt közölt és ezzel bűncselekmény vagy szabálysértés elkövetésére utaló körülmény merül fel, személyes adatait az eljárás lefolytatására jogosult szerv vagy személy részére át kell adni. Ha alappal valószínűsíthető, hogy másnak jogellenes kárt vagy egyéb jogsérelmet okozott, személyes adatait az eljárás kezdeményezésére, illetve lefolytatására jogosult szervnek vagy személynek kérelmére át kell adni.</w:t>
      </w:r>
    </w:p>
    <w:p w14:paraId="708150C0" w14:textId="68D2BA58" w:rsidR="00ED749F" w:rsidRPr="000F168D" w:rsidRDefault="00ED749F" w:rsidP="00ED749F">
      <w:pPr>
        <w:pStyle w:val="cf0"/>
        <w:pBdr>
          <w:top w:val="single" w:sz="4" w:space="1" w:color="auto"/>
          <w:left w:val="single" w:sz="4" w:space="4" w:color="auto"/>
          <w:bottom w:val="single" w:sz="4" w:space="1" w:color="auto"/>
          <w:right w:val="single" w:sz="4" w:space="4" w:color="auto"/>
        </w:pBdr>
        <w:spacing w:before="0" w:beforeAutospacing="0" w:after="0" w:afterAutospacing="0"/>
        <w:jc w:val="both"/>
      </w:pPr>
      <w:r w:rsidRPr="000F168D">
        <w:t>Amennyiben a belső visszaélés-bejelentési rendszerünkben olyan bejelentés, adat kerül rögzítésre, amely nem kapcsolódik a külön nevesített európai uniós normákhoz (lsd. eljárásrend), ezen adatokat haladéktalanul töröljük. Kérjük, hogy a visszaélés-bejelentési csatornát egyéb bejelentésekre, panaszokra ne használja.</w:t>
      </w:r>
    </w:p>
    <w:p w14:paraId="2C03C3AC" w14:textId="77777777" w:rsidR="00ED749F" w:rsidRPr="000F168D" w:rsidRDefault="00ED749F" w:rsidP="00ED749F">
      <w:pPr>
        <w:pStyle w:val="cf0"/>
        <w:spacing w:before="0" w:beforeAutospacing="0" w:after="0" w:afterAutospacing="0"/>
        <w:jc w:val="both"/>
      </w:pPr>
    </w:p>
    <w:p w14:paraId="277662F2" w14:textId="77777777" w:rsidR="00ED749F" w:rsidRPr="000F168D" w:rsidRDefault="00ED749F" w:rsidP="00ED749F">
      <w:pPr>
        <w:pStyle w:val="cf0"/>
        <w:spacing w:before="0" w:beforeAutospacing="0" w:after="0" w:afterAutospacing="0"/>
        <w:jc w:val="center"/>
        <w:rPr>
          <w:b/>
          <w:bCs/>
        </w:rPr>
      </w:pPr>
      <w:r w:rsidRPr="000F168D">
        <w:rPr>
          <w:b/>
          <w:bCs/>
        </w:rPr>
        <w:t>EDDIG KEZELJÜK A SZEMÉLYES ADATOKAT</w:t>
      </w:r>
    </w:p>
    <w:p w14:paraId="650A3111" w14:textId="4119DE73" w:rsidR="00ED749F" w:rsidRPr="000F168D" w:rsidRDefault="00ED749F" w:rsidP="00AB30E2">
      <w:pPr>
        <w:pStyle w:val="cf0"/>
        <w:jc w:val="both"/>
      </w:pPr>
      <w:r w:rsidRPr="000F168D">
        <w:t xml:space="preserve">A </w:t>
      </w:r>
      <w:r w:rsidR="00EB3306" w:rsidRPr="000F168D">
        <w:t>Csillagászati és Földtudományi Kutatóközpont</w:t>
      </w:r>
      <w:r w:rsidRPr="000F168D">
        <w:t xml:space="preserve"> a bejelentésben foglaltakat a körülmények által lehetővé tett legrövidebb időn belül, de legfeljebb a bejelentés beérkezésétől számított harminc napon belül kivizsgálja. Ezt a határidőt különösen indokolt esetben, a bejelentő egyidejű tájékoztatása mellett lehet meghosszabbítani. A bejelentőt ebben az esetben a kivizsgálás várható időpontjáról és a kivizsgálás meghosszabbítása indokairól tájékoztatni kell. A bejelentés kivizsgálásának és a bejelentő kivizsgálással összefüggő tájékoztatásának határideje a meghosszabbítás esetén sem haladhatja meg a három hónapot.</w:t>
      </w:r>
      <w:r w:rsidR="0049259C" w:rsidRPr="000F168D">
        <w:t xml:space="preserve"> Ezt követően a személyes adatok egy ideig (polgári jogi elévülési idő tartama) még jogi igények érvényesítése és védelme céljából kezelésre kerülnek.</w:t>
      </w:r>
    </w:p>
    <w:p w14:paraId="53094A18" w14:textId="77777777" w:rsidR="00ED749F" w:rsidRPr="000F168D" w:rsidRDefault="00ED749F" w:rsidP="00ED749F">
      <w:pPr>
        <w:pStyle w:val="cf0"/>
        <w:spacing w:before="0" w:beforeAutospacing="0" w:after="0" w:afterAutospacing="0"/>
        <w:jc w:val="both"/>
        <w:rPr>
          <w:b/>
          <w:bCs/>
        </w:rPr>
      </w:pPr>
      <w:r w:rsidRPr="000F168D">
        <w:rPr>
          <w:b/>
          <w:bCs/>
        </w:rPr>
        <w:t>Az alábbiakban a személyes adatok kezelésére vonatkozó körülményeket táblázatos formában foglaljuk össze:</w:t>
      </w:r>
    </w:p>
    <w:p w14:paraId="266C4A4B" w14:textId="77777777" w:rsidR="00ED749F" w:rsidRPr="000F168D" w:rsidRDefault="00ED749F" w:rsidP="00ED749F">
      <w:pPr>
        <w:pStyle w:val="cf0"/>
        <w:spacing w:before="0" w:beforeAutospacing="0" w:after="0" w:afterAutospacing="0"/>
        <w:jc w:val="both"/>
      </w:pPr>
    </w:p>
    <w:p w14:paraId="236AF557" w14:textId="77777777" w:rsidR="00ED749F" w:rsidRPr="000F168D" w:rsidRDefault="00ED749F" w:rsidP="00ED749F">
      <w:pPr>
        <w:pStyle w:val="cf0"/>
        <w:spacing w:before="0" w:beforeAutospacing="0" w:after="0" w:afterAutospacing="0"/>
        <w:jc w:val="center"/>
      </w:pPr>
      <w:r w:rsidRPr="000F168D">
        <w:rPr>
          <w:b/>
          <w:bCs/>
        </w:rPr>
        <w:t>AZ ADATKEZELÉS ÖSSZEFOGLALÓ BEMUTATÁSA</w:t>
      </w:r>
    </w:p>
    <w:tbl>
      <w:tblPr>
        <w:tblStyle w:val="Tblzategyszer1"/>
        <w:tblW w:w="0" w:type="auto"/>
        <w:tblLook w:val="04A0" w:firstRow="1" w:lastRow="0" w:firstColumn="1" w:lastColumn="0" w:noHBand="0" w:noVBand="1"/>
      </w:tblPr>
      <w:tblGrid>
        <w:gridCol w:w="4175"/>
        <w:gridCol w:w="4886"/>
      </w:tblGrid>
      <w:tr w:rsidR="00ED749F" w:rsidRPr="000F168D" w14:paraId="4A179EE4" w14:textId="77777777" w:rsidTr="00337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5" w:type="dxa"/>
          </w:tcPr>
          <w:p w14:paraId="5952D921" w14:textId="77777777" w:rsidR="00ED749F" w:rsidRPr="000F168D" w:rsidRDefault="00ED749F" w:rsidP="003378BB">
            <w:pPr>
              <w:pStyle w:val="cf0"/>
              <w:spacing w:before="0" w:beforeAutospacing="0" w:after="0" w:afterAutospacing="0"/>
              <w:jc w:val="center"/>
            </w:pPr>
            <w:r w:rsidRPr="000F168D">
              <w:lastRenderedPageBreak/>
              <w:t>Az adatkezelés célja</w:t>
            </w:r>
          </w:p>
        </w:tc>
        <w:tc>
          <w:tcPr>
            <w:tcW w:w="4886" w:type="dxa"/>
          </w:tcPr>
          <w:p w14:paraId="5A60AE9D" w14:textId="48A437CA" w:rsidR="00ED749F" w:rsidRPr="000F168D" w:rsidRDefault="0049259C" w:rsidP="003378BB">
            <w:pPr>
              <w:pStyle w:val="cf0"/>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0F168D">
              <w:t xml:space="preserve">Az adatkezelés célja az Európai Unió jogi normái megsértésének felderítése, a visszaélések megszűntetése, a felelősségre vonás kezdeményezése, egyben megelőző és a visszaéléseket orvosló intézkedések meghozatalára irányuló javaslatok megfogalmazása. </w:t>
            </w:r>
          </w:p>
        </w:tc>
      </w:tr>
      <w:tr w:rsidR="00ED749F" w:rsidRPr="000F168D" w14:paraId="568EAEA5" w14:textId="77777777" w:rsidTr="0033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5" w:type="dxa"/>
          </w:tcPr>
          <w:p w14:paraId="07377336" w14:textId="77777777" w:rsidR="00ED749F" w:rsidRPr="000F168D" w:rsidRDefault="00ED749F" w:rsidP="003378BB">
            <w:pPr>
              <w:pStyle w:val="cf0"/>
              <w:spacing w:before="0" w:beforeAutospacing="0" w:after="0" w:afterAutospacing="0"/>
              <w:jc w:val="center"/>
            </w:pPr>
            <w:r w:rsidRPr="000F168D">
              <w:t>Az adatkezelés jogalapja:</w:t>
            </w:r>
          </w:p>
        </w:tc>
        <w:tc>
          <w:tcPr>
            <w:tcW w:w="4886" w:type="dxa"/>
          </w:tcPr>
          <w:p w14:paraId="754BA50C" w14:textId="77777777" w:rsidR="00ED749F" w:rsidRPr="000F168D" w:rsidRDefault="00ED749F"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F168D">
              <w:t xml:space="preserve">Az adatkezelés jogalapja a </w:t>
            </w:r>
            <w:r w:rsidRPr="000F168D">
              <w:rPr>
                <w:b/>
                <w:bCs/>
              </w:rPr>
              <w:t>GDPR 6. cikk (1)(c)</w:t>
            </w:r>
            <w:r w:rsidRPr="000F168D">
              <w:t xml:space="preserve"> pontja szerinti </w:t>
            </w:r>
            <w:r w:rsidRPr="000F168D">
              <w:rPr>
                <w:b/>
                <w:bCs/>
              </w:rPr>
              <w:t>jogi kötelezettség teljesítése</w:t>
            </w:r>
            <w:r w:rsidRPr="000F168D">
              <w:t>. A jogi kötelezettség alapja a 2019/1937. számú Irányelv, illetve a 2023. évi XXV. tv. II. fejezet V. pontja.</w:t>
            </w:r>
          </w:p>
          <w:p w14:paraId="7207B3AB" w14:textId="77777777" w:rsidR="00ED749F" w:rsidRPr="000F168D" w:rsidRDefault="00ED749F"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p>
          <w:p w14:paraId="2C84A022" w14:textId="77777777" w:rsidR="00ED749F" w:rsidRPr="000F168D" w:rsidRDefault="00ED749F"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F168D">
              <w:t xml:space="preserve">Bizonyos adattovábbítások esetében a </w:t>
            </w:r>
            <w:r w:rsidRPr="000F168D">
              <w:rPr>
                <w:b/>
                <w:bCs/>
              </w:rPr>
              <w:t>GDPR 6. cikk (1)(a)</w:t>
            </w:r>
            <w:r w:rsidRPr="000F168D">
              <w:t xml:space="preserve"> bekezdése szerinti </w:t>
            </w:r>
            <w:r w:rsidRPr="000F168D">
              <w:rPr>
                <w:b/>
                <w:bCs/>
              </w:rPr>
              <w:t xml:space="preserve">hozzájárulás </w:t>
            </w:r>
            <w:r w:rsidRPr="000F168D">
              <w:t xml:space="preserve">(lsd. </w:t>
            </w:r>
            <w:r w:rsidRPr="000F168D">
              <w:rPr>
                <w:b/>
                <w:bCs/>
              </w:rPr>
              <w:t>egyéb címzettek</w:t>
            </w:r>
            <w:r w:rsidRPr="000F168D">
              <w:t>).</w:t>
            </w:r>
          </w:p>
          <w:p w14:paraId="76FFF950" w14:textId="77777777" w:rsidR="00ED749F" w:rsidRPr="000F168D" w:rsidRDefault="00ED749F"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p>
          <w:p w14:paraId="03E1ECC5" w14:textId="77777777" w:rsidR="00ED749F" w:rsidRPr="000F168D" w:rsidRDefault="00ED749F"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rPr>
            </w:pPr>
            <w:r w:rsidRPr="000F168D">
              <w:rPr>
                <w:b/>
                <w:bCs/>
              </w:rPr>
              <w:t>Rögzített telefonvonal vagy hangüzenet küldő rendszer</w:t>
            </w:r>
            <w:r w:rsidRPr="000F168D">
              <w:t xml:space="preserve"> esetében a </w:t>
            </w:r>
            <w:r w:rsidRPr="000F168D">
              <w:rPr>
                <w:b/>
                <w:bCs/>
              </w:rPr>
              <w:t>GDPR 6. cikk (1)(a)</w:t>
            </w:r>
            <w:r w:rsidRPr="000F168D">
              <w:t xml:space="preserve"> bekezdése szerinti </w:t>
            </w:r>
            <w:r w:rsidRPr="000F168D">
              <w:rPr>
                <w:b/>
                <w:bCs/>
              </w:rPr>
              <w:t xml:space="preserve">hozzájárulás. </w:t>
            </w:r>
          </w:p>
          <w:p w14:paraId="23D69143" w14:textId="77777777" w:rsidR="0049259C" w:rsidRPr="000F168D" w:rsidRDefault="0049259C"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rPr>
            </w:pPr>
          </w:p>
          <w:p w14:paraId="550C5E68" w14:textId="41877197" w:rsidR="0049259C" w:rsidRPr="000F168D" w:rsidRDefault="0049259C"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F168D">
              <w:rPr>
                <w:bCs/>
              </w:rPr>
              <w:t>A vizsgálati szakasz lezárását követően az adatkezelés jogalapja a</w:t>
            </w:r>
            <w:r w:rsidRPr="000F168D">
              <w:t xml:space="preserve"> </w:t>
            </w:r>
            <w:r w:rsidRPr="000F168D">
              <w:rPr>
                <w:b/>
                <w:bCs/>
              </w:rPr>
              <w:t>GDPR 6. cikk (1)(f)</w:t>
            </w:r>
            <w:r w:rsidRPr="000F168D">
              <w:t xml:space="preserve"> bekezdése szerinti </w:t>
            </w:r>
            <w:r w:rsidRPr="000F168D">
              <w:rPr>
                <w:b/>
                <w:bCs/>
              </w:rPr>
              <w:t xml:space="preserve">jogos érdek. </w:t>
            </w:r>
            <w:r w:rsidRPr="000F168D">
              <w:t>A vizsgálati szakasz maximum 3 hónapos tartamának lezárultát követően</w:t>
            </w:r>
            <w:r w:rsidRPr="000F168D">
              <w:rPr>
                <w:bCs/>
              </w:rPr>
              <w:t xml:space="preserve"> az adatkezelő az adatokat az 5 éves polgári jogi elévülési időn belül elzártan tovább kezeli, és egy esetleges panasz (pl. NAIH), hatósági eljárás vagy bírósági jogorvoslat esetén használja csak fel azokat a bizonyítási eljárás lehetővé tétele, a tényállás pontos feltárása, a jogszerű döntés meghozatala – mint adatkezelői jogos érdek – céljából. Az érintett jogos érdeke egy esetlegesen meginduló eljárásban azonos.</w:t>
            </w:r>
          </w:p>
        </w:tc>
      </w:tr>
      <w:tr w:rsidR="00ED749F" w:rsidRPr="000F168D" w14:paraId="7F78036D" w14:textId="77777777" w:rsidTr="003378BB">
        <w:tc>
          <w:tcPr>
            <w:cnfStyle w:val="001000000000" w:firstRow="0" w:lastRow="0" w:firstColumn="1" w:lastColumn="0" w:oddVBand="0" w:evenVBand="0" w:oddHBand="0" w:evenHBand="0" w:firstRowFirstColumn="0" w:firstRowLastColumn="0" w:lastRowFirstColumn="0" w:lastRowLastColumn="0"/>
            <w:tcW w:w="4175" w:type="dxa"/>
          </w:tcPr>
          <w:p w14:paraId="3ACEDB3D" w14:textId="77777777" w:rsidR="00ED749F" w:rsidRPr="000F168D" w:rsidRDefault="00ED749F" w:rsidP="003378BB">
            <w:pPr>
              <w:pStyle w:val="cf0"/>
              <w:spacing w:before="0" w:beforeAutospacing="0" w:after="0" w:afterAutospacing="0"/>
              <w:jc w:val="center"/>
            </w:pPr>
            <w:r w:rsidRPr="000F168D">
              <w:t>Jogos érdek megnevezése:</w:t>
            </w:r>
          </w:p>
        </w:tc>
        <w:tc>
          <w:tcPr>
            <w:tcW w:w="4886" w:type="dxa"/>
          </w:tcPr>
          <w:p w14:paraId="2CBD9132" w14:textId="5EFD1700" w:rsidR="00ED749F" w:rsidRPr="000F168D" w:rsidRDefault="0049259C" w:rsidP="003378BB">
            <w:pPr>
              <w:pStyle w:val="cf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F168D">
              <w:t>Az elévülési időtartam alatt jogi igények érvényesítése és védelme.</w:t>
            </w:r>
          </w:p>
        </w:tc>
      </w:tr>
      <w:tr w:rsidR="00ED749F" w:rsidRPr="000F168D" w14:paraId="7E01683B" w14:textId="77777777" w:rsidTr="0033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5" w:type="dxa"/>
          </w:tcPr>
          <w:p w14:paraId="3A286BC0" w14:textId="77777777" w:rsidR="00ED749F" w:rsidRPr="000F168D" w:rsidRDefault="00ED749F" w:rsidP="003378BB">
            <w:pPr>
              <w:pStyle w:val="cf0"/>
              <w:spacing w:before="0" w:beforeAutospacing="0" w:after="0" w:afterAutospacing="0"/>
              <w:jc w:val="center"/>
            </w:pPr>
            <w:r w:rsidRPr="000F168D">
              <w:t>Az érintettek kategóriái:</w:t>
            </w:r>
          </w:p>
        </w:tc>
        <w:tc>
          <w:tcPr>
            <w:tcW w:w="4886" w:type="dxa"/>
          </w:tcPr>
          <w:p w14:paraId="3BBA8808" w14:textId="2E6833F1" w:rsidR="00ED749F" w:rsidRPr="000F168D" w:rsidRDefault="0049259C"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F168D">
              <w:t>A bejelentő, illetve a bejelentőre vonatkozó védelemben részesülő egyéb személy; továbbá az, akinek a magatartása vagy mulasztása a bejelentésre okot ad; illetve aki a bejelentéssel összefüggésben érdemi információval rendelkezik, illetve akit a bejelentés vagy a kivizsgálás során feltártak megemlítenek.</w:t>
            </w:r>
          </w:p>
        </w:tc>
      </w:tr>
      <w:tr w:rsidR="00ED749F" w:rsidRPr="000F168D" w14:paraId="76114956" w14:textId="77777777" w:rsidTr="003378BB">
        <w:tc>
          <w:tcPr>
            <w:cnfStyle w:val="001000000000" w:firstRow="0" w:lastRow="0" w:firstColumn="1" w:lastColumn="0" w:oddVBand="0" w:evenVBand="0" w:oddHBand="0" w:evenHBand="0" w:firstRowFirstColumn="0" w:firstRowLastColumn="0" w:lastRowFirstColumn="0" w:lastRowLastColumn="0"/>
            <w:tcW w:w="4175" w:type="dxa"/>
          </w:tcPr>
          <w:p w14:paraId="17088AA9" w14:textId="77777777" w:rsidR="00ED749F" w:rsidRPr="000F168D" w:rsidRDefault="00ED749F" w:rsidP="003378BB">
            <w:pPr>
              <w:pStyle w:val="cf0"/>
              <w:spacing w:before="0" w:beforeAutospacing="0" w:after="0" w:afterAutospacing="0"/>
              <w:jc w:val="center"/>
            </w:pPr>
            <w:r w:rsidRPr="000F168D">
              <w:t>Kezelt személyes adatok kategóriái:</w:t>
            </w:r>
          </w:p>
        </w:tc>
        <w:tc>
          <w:tcPr>
            <w:tcW w:w="4886" w:type="dxa"/>
          </w:tcPr>
          <w:p w14:paraId="3DBC262C" w14:textId="77777777" w:rsidR="00ED749F" w:rsidRPr="000F168D" w:rsidRDefault="00ED749F" w:rsidP="003378BB">
            <w:pPr>
              <w:pStyle w:val="cf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F168D">
              <w:t xml:space="preserve">A belső visszaélés-bejelentési rendszer keretei között a bejelentőnek, annak a személynek, akinek a magatartása vagy mulasztása a bejelentésre okot adott, és annak a személynek, aki a bejelentésben foglaltakról érdemi </w:t>
            </w:r>
            <w:r w:rsidRPr="000F168D">
              <w:lastRenderedPageBreak/>
              <w:t>információval rendelkezhet, a bejelentés kivizsgálásához elengedhetetlenül szükséges személyes adatai kezelhetőek. Kezelhetőek továbbá a rosszhiszemű bejelentés kivizsgálásával, illetve a szükséges lépések megtételével összefüggő személyes adatok is.</w:t>
            </w:r>
          </w:p>
        </w:tc>
      </w:tr>
      <w:tr w:rsidR="00ED749F" w:rsidRPr="000F168D" w14:paraId="4027FC58" w14:textId="77777777" w:rsidTr="0033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5" w:type="dxa"/>
          </w:tcPr>
          <w:p w14:paraId="103762E7" w14:textId="77777777" w:rsidR="00ED749F" w:rsidRPr="000F168D" w:rsidRDefault="00ED749F" w:rsidP="003378BB">
            <w:pPr>
              <w:pStyle w:val="cf0"/>
              <w:spacing w:before="0" w:beforeAutospacing="0" w:after="0" w:afterAutospacing="0"/>
              <w:jc w:val="center"/>
            </w:pPr>
            <w:r w:rsidRPr="000F168D">
              <w:lastRenderedPageBreak/>
              <w:t>A személyes adatok forrása:</w:t>
            </w:r>
          </w:p>
        </w:tc>
        <w:tc>
          <w:tcPr>
            <w:tcW w:w="4886" w:type="dxa"/>
          </w:tcPr>
          <w:p w14:paraId="37D9F8BB" w14:textId="77777777" w:rsidR="00ED749F" w:rsidRPr="000F168D" w:rsidRDefault="00ED749F"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F168D">
              <w:t>A bejelentő, akinek a magatartása vagy mulasztása a bejelentésre okot ad, illetve aki a bejelentéssel összefüggésben érdemi információval rendelkezik.</w:t>
            </w:r>
          </w:p>
        </w:tc>
      </w:tr>
      <w:tr w:rsidR="00ED749F" w:rsidRPr="000F168D" w14:paraId="19E8DED7" w14:textId="77777777" w:rsidTr="003378BB">
        <w:tc>
          <w:tcPr>
            <w:cnfStyle w:val="001000000000" w:firstRow="0" w:lastRow="0" w:firstColumn="1" w:lastColumn="0" w:oddVBand="0" w:evenVBand="0" w:oddHBand="0" w:evenHBand="0" w:firstRowFirstColumn="0" w:firstRowLastColumn="0" w:lastRowFirstColumn="0" w:lastRowLastColumn="0"/>
            <w:tcW w:w="4175" w:type="dxa"/>
          </w:tcPr>
          <w:p w14:paraId="590890B6" w14:textId="77777777" w:rsidR="00ED749F" w:rsidRPr="000F168D" w:rsidRDefault="00ED749F" w:rsidP="003378BB">
            <w:pPr>
              <w:pStyle w:val="cf0"/>
              <w:spacing w:before="0" w:beforeAutospacing="0" w:after="0" w:afterAutospacing="0"/>
              <w:jc w:val="center"/>
            </w:pPr>
            <w:r w:rsidRPr="000F168D">
              <w:t>Az adatkezelés időtartama:</w:t>
            </w:r>
          </w:p>
        </w:tc>
        <w:tc>
          <w:tcPr>
            <w:tcW w:w="4886" w:type="dxa"/>
          </w:tcPr>
          <w:p w14:paraId="37089825" w14:textId="77777777" w:rsidR="0049259C" w:rsidRPr="000F168D" w:rsidRDefault="0049259C" w:rsidP="0049259C">
            <w:pPr>
              <w:pStyle w:val="cf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Cs/>
              </w:rPr>
            </w:pPr>
            <w:r w:rsidRPr="000F168D">
              <w:rPr>
                <w:bCs/>
              </w:rPr>
              <w:t xml:space="preserve">A visszaélés-bejelentés kivizsgálása céljából a kivizsgálási eljárás időtartama, amely maximum 3 hónap. </w:t>
            </w:r>
          </w:p>
          <w:p w14:paraId="38A480AA" w14:textId="6E9D6F54" w:rsidR="00ED749F" w:rsidRPr="000F168D" w:rsidRDefault="0049259C" w:rsidP="0049259C">
            <w:pPr>
              <w:pStyle w:val="cf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Cs/>
              </w:rPr>
            </w:pPr>
            <w:r w:rsidRPr="000F168D">
              <w:rPr>
                <w:bCs/>
              </w:rPr>
              <w:t>Ezt követően az adatkezelő az adatokat az 5 éves polgári jogi elévülési időn belül elzártan tovább kezeli, és egy esetleges panasz (pl. NAIH), hatósági eljárás vagy bírósági eljárás esetén használja csak fel azokat a bizonyítási eljárás lehetővé tétele, a tényállás pontos feltárása, a jogszerű döntés meghozatala céljából.</w:t>
            </w:r>
          </w:p>
        </w:tc>
      </w:tr>
      <w:tr w:rsidR="00ED749F" w:rsidRPr="000F168D" w14:paraId="1C051280" w14:textId="77777777" w:rsidTr="0033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5" w:type="dxa"/>
          </w:tcPr>
          <w:p w14:paraId="15B992DC" w14:textId="77777777" w:rsidR="00ED749F" w:rsidRPr="000F168D" w:rsidRDefault="00ED749F" w:rsidP="003378BB">
            <w:pPr>
              <w:pStyle w:val="cf0"/>
              <w:spacing w:before="0" w:beforeAutospacing="0" w:after="0" w:afterAutospacing="0"/>
              <w:jc w:val="center"/>
              <w:rPr>
                <w:noProof/>
                <w:lang w:val="en-US"/>
              </w:rPr>
            </w:pPr>
            <w:r w:rsidRPr="000F168D">
              <w:rPr>
                <w:noProof/>
                <w:lang w:val="en-US"/>
              </w:rPr>
              <w:t>Címzettek (adattovábbítás alanyai):</w:t>
            </w:r>
          </w:p>
        </w:tc>
        <w:tc>
          <w:tcPr>
            <w:tcW w:w="4886" w:type="dxa"/>
          </w:tcPr>
          <w:p w14:paraId="6E69CEF4" w14:textId="77777777" w:rsidR="00ED749F" w:rsidRPr="000F168D" w:rsidRDefault="00ED749F"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noProof/>
                <w:lang w:val="en-US"/>
              </w:rPr>
            </w:pPr>
            <w:r w:rsidRPr="000F168D">
              <w:rPr>
                <w:b/>
                <w:bCs/>
                <w:noProof/>
                <w:lang w:val="en-US"/>
              </w:rPr>
              <w:t>Eljárás lefolytatására hatáskörrel rendelkező szerv, hatóság vagy jogosult személy</w:t>
            </w:r>
            <w:r w:rsidRPr="000F168D">
              <w:rPr>
                <w:noProof/>
                <w:lang w:val="en-US"/>
              </w:rPr>
              <w:t>.</w:t>
            </w:r>
          </w:p>
          <w:p w14:paraId="6C35699D" w14:textId="77777777" w:rsidR="00ED749F" w:rsidRPr="000F168D" w:rsidRDefault="00ED749F"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noProof/>
                <w:lang w:val="en-US"/>
              </w:rPr>
            </w:pPr>
            <w:r w:rsidRPr="000F168D">
              <w:rPr>
                <w:noProof/>
                <w:lang w:val="en-US"/>
              </w:rPr>
              <w:t xml:space="preserve"> </w:t>
            </w:r>
          </w:p>
          <w:p w14:paraId="5821995B" w14:textId="77777777" w:rsidR="00ED749F" w:rsidRPr="000F168D" w:rsidRDefault="00ED749F"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noProof/>
                <w:lang w:val="en-US"/>
              </w:rPr>
            </w:pPr>
            <w:r w:rsidRPr="000F168D">
              <w:rPr>
                <w:noProof/>
                <w:lang w:val="en-US"/>
              </w:rPr>
              <w:t xml:space="preserve">A bejelentő hozzájárulása esetében </w:t>
            </w:r>
            <w:r w:rsidRPr="000F168D">
              <w:rPr>
                <w:b/>
                <w:bCs/>
                <w:noProof/>
                <w:lang w:val="en-US"/>
              </w:rPr>
              <w:t xml:space="preserve">egyéb (nem a kivizsgálást végző) címzettek </w:t>
            </w:r>
            <w:r w:rsidRPr="000F168D">
              <w:rPr>
                <w:noProof/>
                <w:lang w:val="en-US"/>
              </w:rPr>
              <w:t>(lsd. az Irányelv 16. cikk (1)).</w:t>
            </w:r>
          </w:p>
        </w:tc>
      </w:tr>
      <w:tr w:rsidR="00ED749F" w:rsidRPr="000F168D" w14:paraId="7B36C6B6" w14:textId="77777777" w:rsidTr="003378BB">
        <w:tc>
          <w:tcPr>
            <w:cnfStyle w:val="001000000000" w:firstRow="0" w:lastRow="0" w:firstColumn="1" w:lastColumn="0" w:oddVBand="0" w:evenVBand="0" w:oddHBand="0" w:evenHBand="0" w:firstRowFirstColumn="0" w:firstRowLastColumn="0" w:lastRowFirstColumn="0" w:lastRowLastColumn="0"/>
            <w:tcW w:w="4175" w:type="dxa"/>
          </w:tcPr>
          <w:p w14:paraId="09A37532" w14:textId="77777777" w:rsidR="00ED749F" w:rsidRPr="000F168D" w:rsidRDefault="00ED749F" w:rsidP="003378BB">
            <w:pPr>
              <w:pStyle w:val="cf0"/>
              <w:spacing w:before="0" w:beforeAutospacing="0" w:after="0" w:afterAutospacing="0"/>
              <w:jc w:val="center"/>
            </w:pPr>
            <w:r w:rsidRPr="000F168D">
              <w:t>Harmadik országba történő adattovábbítás:</w:t>
            </w:r>
          </w:p>
        </w:tc>
        <w:tc>
          <w:tcPr>
            <w:tcW w:w="4886" w:type="dxa"/>
          </w:tcPr>
          <w:p w14:paraId="5ED3B795" w14:textId="77777777" w:rsidR="00ED749F" w:rsidRPr="000F168D" w:rsidRDefault="00ED749F" w:rsidP="003378BB">
            <w:pPr>
              <w:pStyle w:val="cf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F168D">
              <w:t>Nem kerül rá sor.</w:t>
            </w:r>
          </w:p>
        </w:tc>
      </w:tr>
      <w:tr w:rsidR="00ED749F" w:rsidRPr="000F168D" w14:paraId="740388E3" w14:textId="77777777" w:rsidTr="0033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5" w:type="dxa"/>
          </w:tcPr>
          <w:p w14:paraId="7F72306B" w14:textId="77777777" w:rsidR="00ED749F" w:rsidRPr="000F168D" w:rsidRDefault="00ED749F" w:rsidP="003378BB">
            <w:pPr>
              <w:pStyle w:val="cf0"/>
              <w:spacing w:before="0" w:beforeAutospacing="0" w:after="0" w:afterAutospacing="0"/>
              <w:jc w:val="center"/>
            </w:pPr>
            <w:r w:rsidRPr="000F168D">
              <w:t>Automatizált döntéshozatal/profilalkotás:</w:t>
            </w:r>
          </w:p>
        </w:tc>
        <w:tc>
          <w:tcPr>
            <w:tcW w:w="4886" w:type="dxa"/>
          </w:tcPr>
          <w:p w14:paraId="5AB88642" w14:textId="77777777" w:rsidR="00ED749F" w:rsidRPr="000F168D" w:rsidRDefault="00ED749F"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F168D">
              <w:t>Nem történik.</w:t>
            </w:r>
          </w:p>
        </w:tc>
      </w:tr>
      <w:tr w:rsidR="00ED749F" w:rsidRPr="000F168D" w14:paraId="6F662D5A" w14:textId="77777777" w:rsidTr="003378BB">
        <w:tc>
          <w:tcPr>
            <w:cnfStyle w:val="001000000000" w:firstRow="0" w:lastRow="0" w:firstColumn="1" w:lastColumn="0" w:oddVBand="0" w:evenVBand="0" w:oddHBand="0" w:evenHBand="0" w:firstRowFirstColumn="0" w:firstRowLastColumn="0" w:lastRowFirstColumn="0" w:lastRowLastColumn="0"/>
            <w:tcW w:w="4175" w:type="dxa"/>
          </w:tcPr>
          <w:p w14:paraId="46A7506B" w14:textId="77777777" w:rsidR="00ED749F" w:rsidRPr="000F168D" w:rsidRDefault="00ED749F" w:rsidP="003378BB">
            <w:pPr>
              <w:pStyle w:val="cf0"/>
              <w:spacing w:before="0" w:beforeAutospacing="0" w:after="0" w:afterAutospacing="0"/>
              <w:jc w:val="center"/>
            </w:pPr>
            <w:r w:rsidRPr="000F168D">
              <w:t>Kötelező-e az adatszolgáltatás:</w:t>
            </w:r>
          </w:p>
        </w:tc>
        <w:tc>
          <w:tcPr>
            <w:tcW w:w="4886" w:type="dxa"/>
          </w:tcPr>
          <w:p w14:paraId="1BC4FE8D" w14:textId="77777777" w:rsidR="00ED749F" w:rsidRPr="000F168D" w:rsidRDefault="00ED749F" w:rsidP="003378BB">
            <w:pPr>
              <w:pStyle w:val="cf0"/>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0F168D">
              <w:t>Az adatszolgáltatás önkéntes.</w:t>
            </w:r>
          </w:p>
        </w:tc>
      </w:tr>
      <w:tr w:rsidR="00ED749F" w:rsidRPr="000F168D" w14:paraId="62CD7B74" w14:textId="77777777" w:rsidTr="0033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5" w:type="dxa"/>
          </w:tcPr>
          <w:p w14:paraId="3DE6D67F" w14:textId="77777777" w:rsidR="00ED749F" w:rsidRPr="000F168D" w:rsidRDefault="00ED749F" w:rsidP="003378BB">
            <w:pPr>
              <w:pStyle w:val="cf0"/>
              <w:spacing w:before="0" w:beforeAutospacing="0" w:after="0" w:afterAutospacing="0"/>
              <w:jc w:val="center"/>
            </w:pPr>
            <w:r w:rsidRPr="000F168D">
              <w:t>Milyen következményekkel jár, ha az érintett nem adja meg a személyes adatait:</w:t>
            </w:r>
          </w:p>
        </w:tc>
        <w:tc>
          <w:tcPr>
            <w:tcW w:w="4886" w:type="dxa"/>
          </w:tcPr>
          <w:p w14:paraId="5BBFA944" w14:textId="77777777" w:rsidR="00ED749F" w:rsidRPr="000F168D" w:rsidRDefault="00ED749F" w:rsidP="003378BB">
            <w:pPr>
              <w:pStyle w:val="cf0"/>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0F168D">
              <w:t>Nem vizsgálható ki a bejelentés.</w:t>
            </w:r>
          </w:p>
        </w:tc>
      </w:tr>
    </w:tbl>
    <w:p w14:paraId="01EB84A1" w14:textId="77777777" w:rsidR="00ED749F" w:rsidRPr="000F168D" w:rsidRDefault="00ED749F" w:rsidP="00ED749F">
      <w:pPr>
        <w:pStyle w:val="cf0"/>
        <w:spacing w:before="0" w:beforeAutospacing="0" w:after="0" w:afterAutospacing="0"/>
        <w:jc w:val="center"/>
        <w:rPr>
          <w:b/>
          <w:bCs/>
        </w:rPr>
      </w:pPr>
    </w:p>
    <w:p w14:paraId="434BD18E" w14:textId="77777777" w:rsidR="00ED749F" w:rsidRPr="000F168D" w:rsidRDefault="00ED749F" w:rsidP="00ED749F">
      <w:pPr>
        <w:pStyle w:val="cf0"/>
        <w:spacing w:before="0" w:beforeAutospacing="0" w:after="0" w:afterAutospacing="0"/>
        <w:jc w:val="center"/>
        <w:rPr>
          <w:b/>
          <w:bCs/>
        </w:rPr>
      </w:pPr>
      <w:r w:rsidRPr="000F168D">
        <w:rPr>
          <w:b/>
          <w:bCs/>
        </w:rPr>
        <w:t>ÉRINTETTI JOGAI</w:t>
      </w:r>
    </w:p>
    <w:p w14:paraId="4EB31D81" w14:textId="77777777" w:rsidR="00ED749F" w:rsidRPr="000F168D" w:rsidRDefault="00ED749F" w:rsidP="00ED749F">
      <w:pPr>
        <w:pStyle w:val="cf0"/>
        <w:spacing w:before="0" w:beforeAutospacing="0" w:after="0" w:afterAutospacing="0"/>
        <w:jc w:val="both"/>
      </w:pPr>
      <w:r w:rsidRPr="000F168D">
        <w:t xml:space="preserve">Az érintett jogosult az adatkezeléssel összefüggésben tájékoztatást kérni, a kezelt személyes adataihoz hozzáférni, bizonyos esetekben az adathordozhatósági jogával élni, személyes adatai másolatának rendelkezésre bocsátását kérni, az adatkezelés korlátozását kérni, tiltakozhat a személyes adatai kezelése ellen, illetve kérheti személyes adatainak helyesbítését vagy bizonyos esetben törlését. </w:t>
      </w:r>
    </w:p>
    <w:p w14:paraId="487FBB39" w14:textId="77777777" w:rsidR="00ED749F" w:rsidRPr="000F168D" w:rsidRDefault="00ED749F" w:rsidP="00ED749F">
      <w:pPr>
        <w:pStyle w:val="cf0"/>
        <w:spacing w:before="0" w:beforeAutospacing="0" w:after="0" w:afterAutospacing="0"/>
        <w:jc w:val="both"/>
      </w:pPr>
    </w:p>
    <w:p w14:paraId="673E5FFB" w14:textId="77777777" w:rsidR="00ED749F" w:rsidRPr="000F168D" w:rsidRDefault="00ED749F" w:rsidP="00ED749F">
      <w:pPr>
        <w:pStyle w:val="cf0"/>
        <w:pBdr>
          <w:top w:val="single" w:sz="4" w:space="1" w:color="auto"/>
          <w:left w:val="single" w:sz="4" w:space="4" w:color="auto"/>
          <w:bottom w:val="single" w:sz="4" w:space="1" w:color="auto"/>
          <w:right w:val="single" w:sz="4" w:space="4" w:color="auto"/>
        </w:pBdr>
        <w:spacing w:before="0" w:beforeAutospacing="0" w:after="0" w:afterAutospacing="0"/>
        <w:jc w:val="both"/>
        <w:rPr>
          <w:b/>
          <w:bCs/>
        </w:rPr>
      </w:pPr>
      <w:r w:rsidRPr="000F168D">
        <w:t xml:space="preserve">Ha a bejelentés természetes személyre vonatkozik, az e természetes személyt megillető, a személyes adatok védelmére vonatkozó előírások szerinti, </w:t>
      </w:r>
      <w:r w:rsidRPr="000F168D">
        <w:rPr>
          <w:b/>
          <w:bCs/>
        </w:rPr>
        <w:t>a tájékoztatáshoz és hozzáféréshez való joga gyakorlása során a bejelentő személyes adatai nem tehetők megismerhetővé a tájékoztatást kérő személy számára.</w:t>
      </w:r>
    </w:p>
    <w:p w14:paraId="5EF51E10" w14:textId="77777777" w:rsidR="00ED749F" w:rsidRPr="000F168D" w:rsidRDefault="00ED749F" w:rsidP="00ED749F">
      <w:pPr>
        <w:pStyle w:val="cf0"/>
        <w:spacing w:before="0" w:beforeAutospacing="0" w:after="0" w:afterAutospacing="0"/>
        <w:jc w:val="both"/>
      </w:pPr>
    </w:p>
    <w:p w14:paraId="2101D36E" w14:textId="77D2E343" w:rsidR="00ED749F" w:rsidRPr="000F168D" w:rsidRDefault="00ED749F" w:rsidP="00EB3306">
      <w:pPr>
        <w:pStyle w:val="cf0"/>
        <w:spacing w:before="0" w:beforeAutospacing="0" w:after="0" w:afterAutospacing="0"/>
        <w:jc w:val="both"/>
        <w:rPr>
          <w:b/>
          <w:bCs/>
        </w:rPr>
      </w:pPr>
      <w:r w:rsidRPr="000F168D">
        <w:lastRenderedPageBreak/>
        <w:t>Panasz esetén az érintett a Nemzeti Adatvédelmi és Információszabadság Hatósághoz (1363 Budapest, Pf.:9., www.naih.hu) vagy bírósághoz is fordulhat.</w:t>
      </w:r>
      <w:r w:rsidRPr="000F168D">
        <w:rPr>
          <w:b/>
          <w:bCs/>
        </w:rPr>
        <w:t xml:space="preserve"> </w:t>
      </w:r>
    </w:p>
    <w:sectPr w:rsidR="00ED749F" w:rsidRPr="000F168D">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3AF2" w14:textId="77777777" w:rsidR="00584DDD" w:rsidRDefault="00584DDD" w:rsidP="001E7AF1">
      <w:r>
        <w:separator/>
      </w:r>
    </w:p>
  </w:endnote>
  <w:endnote w:type="continuationSeparator" w:id="0">
    <w:p w14:paraId="559941AB" w14:textId="77777777" w:rsidR="00584DDD" w:rsidRDefault="00584DDD" w:rsidP="001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yriadPro-It">
    <w:altName w:val="Cambria"/>
    <w:panose1 w:val="020B0604020202020204"/>
    <w:charset w:val="00"/>
    <w:family w:val="roman"/>
    <w:notTrueType/>
    <w:pitch w:val="default"/>
  </w:font>
  <w:font w:name="MyriadPro-Regular">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niCredit-Bol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552507242"/>
      <w:docPartObj>
        <w:docPartGallery w:val="Page Numbers (Bottom of Page)"/>
        <w:docPartUnique/>
      </w:docPartObj>
    </w:sdtPr>
    <w:sdtContent>
      <w:p w14:paraId="2B6C8426" w14:textId="6245B8F5" w:rsidR="00BE0736" w:rsidRDefault="00BE0736" w:rsidP="00F05F52">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09C37BAE" w14:textId="77777777" w:rsidR="00BE0736" w:rsidRDefault="00BE0736" w:rsidP="00ED749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076623694"/>
      <w:docPartObj>
        <w:docPartGallery w:val="Page Numbers (Bottom of Page)"/>
        <w:docPartUnique/>
      </w:docPartObj>
    </w:sdtPr>
    <w:sdtContent>
      <w:p w14:paraId="41BA96D7" w14:textId="065E440B" w:rsidR="00BE0736" w:rsidRDefault="00BE0736" w:rsidP="00F05F52">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14:paraId="2E104883" w14:textId="77777777" w:rsidR="00BE0736" w:rsidRDefault="00BE0736" w:rsidP="00ED749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66F3" w14:textId="77777777" w:rsidR="00584DDD" w:rsidRDefault="00584DDD" w:rsidP="001E7AF1">
      <w:r>
        <w:separator/>
      </w:r>
    </w:p>
  </w:footnote>
  <w:footnote w:type="continuationSeparator" w:id="0">
    <w:p w14:paraId="1572A484" w14:textId="77777777" w:rsidR="00584DDD" w:rsidRDefault="00584DDD" w:rsidP="001E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6C55" w14:textId="1C577B75" w:rsidR="001A7CDC" w:rsidRDefault="00EB3306" w:rsidP="00EB3306">
    <w:pPr>
      <w:tabs>
        <w:tab w:val="center" w:pos="4820"/>
        <w:tab w:val="right" w:pos="9640"/>
      </w:tabs>
      <w:jc w:val="center"/>
      <w:rPr>
        <w:sz w:val="19"/>
        <w:szCs w:val="19"/>
      </w:rPr>
    </w:pPr>
    <w:r>
      <w:rPr>
        <w:noProof/>
        <w:sz w:val="19"/>
        <w:szCs w:val="19"/>
      </w:rPr>
      <w:drawing>
        <wp:inline distT="0" distB="0" distL="0" distR="0" wp14:anchorId="6327EA61" wp14:editId="27AC8DAF">
          <wp:extent cx="697117" cy="595100"/>
          <wp:effectExtent l="0" t="0" r="0" b="0"/>
          <wp:docPr id="139193441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934418" name="Kép 1391934418"/>
                  <pic:cNvPicPr/>
                </pic:nvPicPr>
                <pic:blipFill>
                  <a:blip r:embed="rId1">
                    <a:extLst>
                      <a:ext uri="{28A0092B-C50C-407E-A947-70E740481C1C}">
                        <a14:useLocalDpi xmlns:a14="http://schemas.microsoft.com/office/drawing/2010/main" val="0"/>
                      </a:ext>
                    </a:extLst>
                  </a:blip>
                  <a:stretch>
                    <a:fillRect/>
                  </a:stretch>
                </pic:blipFill>
                <pic:spPr>
                  <a:xfrm>
                    <a:off x="0" y="0"/>
                    <a:ext cx="730072" cy="623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2CF"/>
    <w:multiLevelType w:val="hybridMultilevel"/>
    <w:tmpl w:val="A5AC3574"/>
    <w:lvl w:ilvl="0" w:tplc="66DEACC6">
      <w:numFmt w:val="bullet"/>
      <w:lvlText w:val=""/>
      <w:lvlJc w:val="left"/>
      <w:pPr>
        <w:ind w:left="1080" w:hanging="360"/>
      </w:pPr>
      <w:rPr>
        <w:rFonts w:ascii="Symbol" w:eastAsiaTheme="minorHAnsi"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2AF34C4"/>
    <w:multiLevelType w:val="hybridMultilevel"/>
    <w:tmpl w:val="22F68A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C94161"/>
    <w:multiLevelType w:val="hybridMultilevel"/>
    <w:tmpl w:val="0282B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3F1F9A"/>
    <w:multiLevelType w:val="hybridMultilevel"/>
    <w:tmpl w:val="783C005A"/>
    <w:lvl w:ilvl="0" w:tplc="1FE04DE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1B27AFD"/>
    <w:multiLevelType w:val="hybridMultilevel"/>
    <w:tmpl w:val="283AB5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36783F"/>
    <w:multiLevelType w:val="hybridMultilevel"/>
    <w:tmpl w:val="AFAA8A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B30C65"/>
    <w:multiLevelType w:val="hybridMultilevel"/>
    <w:tmpl w:val="283AB5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DA12BB"/>
    <w:multiLevelType w:val="hybridMultilevel"/>
    <w:tmpl w:val="ECE6D60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704C18"/>
    <w:multiLevelType w:val="multilevel"/>
    <w:tmpl w:val="034E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8228B"/>
    <w:multiLevelType w:val="hybridMultilevel"/>
    <w:tmpl w:val="1840C7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135B13"/>
    <w:multiLevelType w:val="hybridMultilevel"/>
    <w:tmpl w:val="71EAB5AC"/>
    <w:lvl w:ilvl="0" w:tplc="9B3CB3F4">
      <w:start w:val="1"/>
      <w:numFmt w:val="bullet"/>
      <w:lvlText w:val=""/>
      <w:lvlJc w:val="left"/>
      <w:pPr>
        <w:ind w:left="717" w:hanging="360"/>
      </w:pPr>
      <w:rPr>
        <w:rFonts w:ascii="Wingdings" w:hAnsi="Wingdings" w:hint="default"/>
        <w:color w:val="auto"/>
      </w:rPr>
    </w:lvl>
    <w:lvl w:ilvl="1" w:tplc="040E0003">
      <w:start w:val="1"/>
      <w:numFmt w:val="bullet"/>
      <w:lvlText w:val="o"/>
      <w:lvlJc w:val="left"/>
      <w:pPr>
        <w:ind w:left="1437" w:hanging="360"/>
      </w:pPr>
      <w:rPr>
        <w:rFonts w:ascii="Courier New" w:hAnsi="Courier New" w:cs="Courier New" w:hint="default"/>
      </w:rPr>
    </w:lvl>
    <w:lvl w:ilvl="2" w:tplc="040E0005">
      <w:start w:val="1"/>
      <w:numFmt w:val="bullet"/>
      <w:lvlText w:val=""/>
      <w:lvlJc w:val="left"/>
      <w:pPr>
        <w:ind w:left="2157" w:hanging="360"/>
      </w:pPr>
      <w:rPr>
        <w:rFonts w:ascii="Wingdings" w:hAnsi="Wingdings" w:hint="default"/>
      </w:rPr>
    </w:lvl>
    <w:lvl w:ilvl="3" w:tplc="040E0001">
      <w:start w:val="1"/>
      <w:numFmt w:val="bullet"/>
      <w:lvlText w:val=""/>
      <w:lvlJc w:val="left"/>
      <w:pPr>
        <w:ind w:left="2877" w:hanging="360"/>
      </w:pPr>
      <w:rPr>
        <w:rFonts w:ascii="Symbol" w:hAnsi="Symbol" w:hint="default"/>
      </w:rPr>
    </w:lvl>
    <w:lvl w:ilvl="4" w:tplc="040E0003">
      <w:start w:val="1"/>
      <w:numFmt w:val="bullet"/>
      <w:lvlText w:val="o"/>
      <w:lvlJc w:val="left"/>
      <w:pPr>
        <w:ind w:left="3597" w:hanging="360"/>
      </w:pPr>
      <w:rPr>
        <w:rFonts w:ascii="Courier New" w:hAnsi="Courier New" w:cs="Courier New" w:hint="default"/>
      </w:rPr>
    </w:lvl>
    <w:lvl w:ilvl="5" w:tplc="040E0005">
      <w:start w:val="1"/>
      <w:numFmt w:val="bullet"/>
      <w:lvlText w:val=""/>
      <w:lvlJc w:val="left"/>
      <w:pPr>
        <w:ind w:left="4317" w:hanging="360"/>
      </w:pPr>
      <w:rPr>
        <w:rFonts w:ascii="Wingdings" w:hAnsi="Wingdings" w:hint="default"/>
      </w:rPr>
    </w:lvl>
    <w:lvl w:ilvl="6" w:tplc="040E0001">
      <w:start w:val="1"/>
      <w:numFmt w:val="bullet"/>
      <w:lvlText w:val=""/>
      <w:lvlJc w:val="left"/>
      <w:pPr>
        <w:ind w:left="5037" w:hanging="360"/>
      </w:pPr>
      <w:rPr>
        <w:rFonts w:ascii="Symbol" w:hAnsi="Symbol" w:hint="default"/>
      </w:rPr>
    </w:lvl>
    <w:lvl w:ilvl="7" w:tplc="040E0003">
      <w:start w:val="1"/>
      <w:numFmt w:val="bullet"/>
      <w:lvlText w:val="o"/>
      <w:lvlJc w:val="left"/>
      <w:pPr>
        <w:ind w:left="5757" w:hanging="360"/>
      </w:pPr>
      <w:rPr>
        <w:rFonts w:ascii="Courier New" w:hAnsi="Courier New" w:cs="Courier New" w:hint="default"/>
      </w:rPr>
    </w:lvl>
    <w:lvl w:ilvl="8" w:tplc="040E0005">
      <w:start w:val="1"/>
      <w:numFmt w:val="bullet"/>
      <w:lvlText w:val=""/>
      <w:lvlJc w:val="left"/>
      <w:pPr>
        <w:ind w:left="6477" w:hanging="360"/>
      </w:pPr>
      <w:rPr>
        <w:rFonts w:ascii="Wingdings" w:hAnsi="Wingdings" w:hint="default"/>
      </w:rPr>
    </w:lvl>
  </w:abstractNum>
  <w:abstractNum w:abstractNumId="11" w15:restartNumberingAfterBreak="0">
    <w:nsid w:val="25AB454B"/>
    <w:multiLevelType w:val="hybridMultilevel"/>
    <w:tmpl w:val="042C5E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80C5621"/>
    <w:multiLevelType w:val="hybridMultilevel"/>
    <w:tmpl w:val="07CC7C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A11B3D"/>
    <w:multiLevelType w:val="hybridMultilevel"/>
    <w:tmpl w:val="753E38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AB2596"/>
    <w:multiLevelType w:val="hybridMultilevel"/>
    <w:tmpl w:val="0F3A792C"/>
    <w:lvl w:ilvl="0" w:tplc="EA72CFA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6803C4"/>
    <w:multiLevelType w:val="hybridMultilevel"/>
    <w:tmpl w:val="2132E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F5531E5"/>
    <w:multiLevelType w:val="hybridMultilevel"/>
    <w:tmpl w:val="5E486EA2"/>
    <w:lvl w:ilvl="0" w:tplc="040E000F">
      <w:start w:val="1"/>
      <w:numFmt w:val="decimal"/>
      <w:lvlText w:val="%1."/>
      <w:lvlJc w:val="left"/>
      <w:pPr>
        <w:ind w:left="720" w:hanging="360"/>
      </w:pPr>
    </w:lvl>
    <w:lvl w:ilvl="1" w:tplc="820C9244">
      <w:start w:val="1"/>
      <w:numFmt w:val="upperRoman"/>
      <w:lvlText w:val="%2."/>
      <w:lvlJc w:val="right"/>
      <w:pPr>
        <w:ind w:left="1440" w:hanging="360"/>
      </w:pPr>
      <w:rPr>
        <w:b/>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50C00D62"/>
    <w:multiLevelType w:val="hybridMultilevel"/>
    <w:tmpl w:val="1E063B5C"/>
    <w:lvl w:ilvl="0" w:tplc="6EEE3D16">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27D5508"/>
    <w:multiLevelType w:val="hybridMultilevel"/>
    <w:tmpl w:val="B220F0A6"/>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19" w15:restartNumberingAfterBreak="0">
    <w:nsid w:val="531B7C28"/>
    <w:multiLevelType w:val="hybridMultilevel"/>
    <w:tmpl w:val="AC84C2A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5629232C"/>
    <w:multiLevelType w:val="hybridMultilevel"/>
    <w:tmpl w:val="283AB5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EE4C89"/>
    <w:multiLevelType w:val="hybridMultilevel"/>
    <w:tmpl w:val="AD867F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CA44197"/>
    <w:multiLevelType w:val="hybridMultilevel"/>
    <w:tmpl w:val="1840C7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F00480E"/>
    <w:multiLevelType w:val="hybridMultilevel"/>
    <w:tmpl w:val="0F3A792C"/>
    <w:lvl w:ilvl="0" w:tplc="EA72CFA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FB44A6A"/>
    <w:multiLevelType w:val="hybridMultilevel"/>
    <w:tmpl w:val="F1002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61361F94"/>
    <w:multiLevelType w:val="hybridMultilevel"/>
    <w:tmpl w:val="283AB5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44E560E"/>
    <w:multiLevelType w:val="hybridMultilevel"/>
    <w:tmpl w:val="3D264562"/>
    <w:lvl w:ilvl="0" w:tplc="820C9244">
      <w:start w:val="1"/>
      <w:numFmt w:val="upperRoman"/>
      <w:lvlText w:val="%1."/>
      <w:lvlJc w:val="right"/>
      <w:pPr>
        <w:ind w:left="144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50076DF"/>
    <w:multiLevelType w:val="hybridMultilevel"/>
    <w:tmpl w:val="27D22DBC"/>
    <w:lvl w:ilvl="0" w:tplc="6EEE3D16">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5362265"/>
    <w:multiLevelType w:val="hybridMultilevel"/>
    <w:tmpl w:val="AC84C2A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66B62057"/>
    <w:multiLevelType w:val="hybridMultilevel"/>
    <w:tmpl w:val="283AB5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C984AC4"/>
    <w:multiLevelType w:val="hybridMultilevel"/>
    <w:tmpl w:val="D4A8DF48"/>
    <w:lvl w:ilvl="0" w:tplc="6EEE3D16">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2113C67"/>
    <w:multiLevelType w:val="hybridMultilevel"/>
    <w:tmpl w:val="AC84C2A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758D7D90"/>
    <w:multiLevelType w:val="hybridMultilevel"/>
    <w:tmpl w:val="7DFA4B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8053B66"/>
    <w:multiLevelType w:val="hybridMultilevel"/>
    <w:tmpl w:val="FF1EBE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BD202CD"/>
    <w:multiLevelType w:val="hybridMultilevel"/>
    <w:tmpl w:val="331C24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D462B5A"/>
    <w:multiLevelType w:val="hybridMultilevel"/>
    <w:tmpl w:val="934EB2DA"/>
    <w:lvl w:ilvl="0" w:tplc="338E2FC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E376363"/>
    <w:multiLevelType w:val="hybridMultilevel"/>
    <w:tmpl w:val="F73AF336"/>
    <w:lvl w:ilvl="0" w:tplc="06AAE85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26540073">
    <w:abstractNumId w:val="10"/>
  </w:num>
  <w:num w:numId="2" w16cid:durableId="1511946849">
    <w:abstractNumId w:val="16"/>
  </w:num>
  <w:num w:numId="3" w16cid:durableId="1708412208">
    <w:abstractNumId w:val="18"/>
  </w:num>
  <w:num w:numId="4" w16cid:durableId="254293358">
    <w:abstractNumId w:val="24"/>
  </w:num>
  <w:num w:numId="5" w16cid:durableId="1154640647">
    <w:abstractNumId w:val="16"/>
  </w:num>
  <w:num w:numId="6" w16cid:durableId="1932657608">
    <w:abstractNumId w:val="5"/>
  </w:num>
  <w:num w:numId="7" w16cid:durableId="1832913397">
    <w:abstractNumId w:val="11"/>
  </w:num>
  <w:num w:numId="8" w16cid:durableId="1367486192">
    <w:abstractNumId w:val="12"/>
  </w:num>
  <w:num w:numId="9" w16cid:durableId="1793939711">
    <w:abstractNumId w:val="33"/>
  </w:num>
  <w:num w:numId="10" w16cid:durableId="249969919">
    <w:abstractNumId w:val="22"/>
  </w:num>
  <w:num w:numId="11" w16cid:durableId="1297488602">
    <w:abstractNumId w:val="35"/>
  </w:num>
  <w:num w:numId="12" w16cid:durableId="100690371">
    <w:abstractNumId w:val="4"/>
  </w:num>
  <w:num w:numId="13" w16cid:durableId="1318608169">
    <w:abstractNumId w:val="19"/>
  </w:num>
  <w:num w:numId="14" w16cid:durableId="1863738798">
    <w:abstractNumId w:val="31"/>
  </w:num>
  <w:num w:numId="15" w16cid:durableId="958344029">
    <w:abstractNumId w:val="2"/>
  </w:num>
  <w:num w:numId="16" w16cid:durableId="1118064271">
    <w:abstractNumId w:val="28"/>
  </w:num>
  <w:num w:numId="17" w16cid:durableId="384567189">
    <w:abstractNumId w:val="30"/>
  </w:num>
  <w:num w:numId="18" w16cid:durableId="1718159824">
    <w:abstractNumId w:val="8"/>
  </w:num>
  <w:num w:numId="19" w16cid:durableId="1020427665">
    <w:abstractNumId w:val="1"/>
  </w:num>
  <w:num w:numId="20" w16cid:durableId="1846674173">
    <w:abstractNumId w:val="7"/>
  </w:num>
  <w:num w:numId="21" w16cid:durableId="343364186">
    <w:abstractNumId w:val="6"/>
  </w:num>
  <w:num w:numId="22" w16cid:durableId="875653367">
    <w:abstractNumId w:val="36"/>
  </w:num>
  <w:num w:numId="23" w16cid:durableId="1238326020">
    <w:abstractNumId w:val="3"/>
  </w:num>
  <w:num w:numId="24" w16cid:durableId="1468739307">
    <w:abstractNumId w:val="34"/>
  </w:num>
  <w:num w:numId="25" w16cid:durableId="1412699098">
    <w:abstractNumId w:val="17"/>
  </w:num>
  <w:num w:numId="26" w16cid:durableId="1519343530">
    <w:abstractNumId w:val="27"/>
  </w:num>
  <w:num w:numId="27" w16cid:durableId="448860017">
    <w:abstractNumId w:val="0"/>
  </w:num>
  <w:num w:numId="28" w16cid:durableId="1277252996">
    <w:abstractNumId w:val="15"/>
  </w:num>
  <w:num w:numId="29" w16cid:durableId="610865868">
    <w:abstractNumId w:val="21"/>
  </w:num>
  <w:num w:numId="30" w16cid:durableId="1365594462">
    <w:abstractNumId w:val="13"/>
  </w:num>
  <w:num w:numId="31" w16cid:durableId="1119296531">
    <w:abstractNumId w:val="23"/>
  </w:num>
  <w:num w:numId="32" w16cid:durableId="2034450982">
    <w:abstractNumId w:val="9"/>
  </w:num>
  <w:num w:numId="33" w16cid:durableId="193618904">
    <w:abstractNumId w:val="29"/>
  </w:num>
  <w:num w:numId="34" w16cid:durableId="1725988120">
    <w:abstractNumId w:val="25"/>
  </w:num>
  <w:num w:numId="35" w16cid:durableId="1001160671">
    <w:abstractNumId w:val="14"/>
  </w:num>
  <w:num w:numId="36" w16cid:durableId="308753302">
    <w:abstractNumId w:val="20"/>
  </w:num>
  <w:num w:numId="37" w16cid:durableId="634288429">
    <w:abstractNumId w:val="32"/>
  </w:num>
  <w:num w:numId="38" w16cid:durableId="19744826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4F"/>
    <w:rsid w:val="0002070D"/>
    <w:rsid w:val="0003731E"/>
    <w:rsid w:val="00051134"/>
    <w:rsid w:val="00067C76"/>
    <w:rsid w:val="0007272A"/>
    <w:rsid w:val="00076E1C"/>
    <w:rsid w:val="00090C84"/>
    <w:rsid w:val="000A2E3D"/>
    <w:rsid w:val="000A69D6"/>
    <w:rsid w:val="000D5598"/>
    <w:rsid w:val="000D77A6"/>
    <w:rsid w:val="000F168D"/>
    <w:rsid w:val="001122E2"/>
    <w:rsid w:val="00125DF0"/>
    <w:rsid w:val="0012774A"/>
    <w:rsid w:val="001504A1"/>
    <w:rsid w:val="00153941"/>
    <w:rsid w:val="0015651B"/>
    <w:rsid w:val="001614F2"/>
    <w:rsid w:val="00171BBC"/>
    <w:rsid w:val="0017669A"/>
    <w:rsid w:val="001846F8"/>
    <w:rsid w:val="001A72B0"/>
    <w:rsid w:val="001A7CDC"/>
    <w:rsid w:val="001B69BE"/>
    <w:rsid w:val="001C4DB3"/>
    <w:rsid w:val="001E7AF1"/>
    <w:rsid w:val="0021235E"/>
    <w:rsid w:val="00213B4D"/>
    <w:rsid w:val="002357C2"/>
    <w:rsid w:val="00254CCE"/>
    <w:rsid w:val="00254F96"/>
    <w:rsid w:val="00256A08"/>
    <w:rsid w:val="00263CC5"/>
    <w:rsid w:val="002644D0"/>
    <w:rsid w:val="00284E98"/>
    <w:rsid w:val="00292335"/>
    <w:rsid w:val="002A71F3"/>
    <w:rsid w:val="002D5278"/>
    <w:rsid w:val="002E02ED"/>
    <w:rsid w:val="002F0C3F"/>
    <w:rsid w:val="0030258A"/>
    <w:rsid w:val="00321636"/>
    <w:rsid w:val="0034519C"/>
    <w:rsid w:val="003701FA"/>
    <w:rsid w:val="00371D69"/>
    <w:rsid w:val="00390132"/>
    <w:rsid w:val="003F5C96"/>
    <w:rsid w:val="00413110"/>
    <w:rsid w:val="00415AD6"/>
    <w:rsid w:val="00417A5B"/>
    <w:rsid w:val="00425BE0"/>
    <w:rsid w:val="0043411C"/>
    <w:rsid w:val="004539DD"/>
    <w:rsid w:val="00454B3E"/>
    <w:rsid w:val="00472AEC"/>
    <w:rsid w:val="0049259C"/>
    <w:rsid w:val="004932F0"/>
    <w:rsid w:val="004B3631"/>
    <w:rsid w:val="004B7072"/>
    <w:rsid w:val="004B7FAB"/>
    <w:rsid w:val="004C4F1C"/>
    <w:rsid w:val="004D5998"/>
    <w:rsid w:val="005147AC"/>
    <w:rsid w:val="00521B1D"/>
    <w:rsid w:val="005256FA"/>
    <w:rsid w:val="00525AB6"/>
    <w:rsid w:val="005675F6"/>
    <w:rsid w:val="00573912"/>
    <w:rsid w:val="00584DDD"/>
    <w:rsid w:val="005A517F"/>
    <w:rsid w:val="005B0438"/>
    <w:rsid w:val="005C20BB"/>
    <w:rsid w:val="005F4E1C"/>
    <w:rsid w:val="006158E0"/>
    <w:rsid w:val="00627A6B"/>
    <w:rsid w:val="0063269B"/>
    <w:rsid w:val="006572C6"/>
    <w:rsid w:val="006804FD"/>
    <w:rsid w:val="00682588"/>
    <w:rsid w:val="00694C0B"/>
    <w:rsid w:val="00695D2F"/>
    <w:rsid w:val="006A2B08"/>
    <w:rsid w:val="006B1B79"/>
    <w:rsid w:val="006E22FF"/>
    <w:rsid w:val="00701D83"/>
    <w:rsid w:val="00701EAC"/>
    <w:rsid w:val="00703F7F"/>
    <w:rsid w:val="00732D1D"/>
    <w:rsid w:val="00734278"/>
    <w:rsid w:val="00734497"/>
    <w:rsid w:val="007357BA"/>
    <w:rsid w:val="007359BF"/>
    <w:rsid w:val="00755482"/>
    <w:rsid w:val="00757E3F"/>
    <w:rsid w:val="0076695D"/>
    <w:rsid w:val="00770666"/>
    <w:rsid w:val="007722FB"/>
    <w:rsid w:val="007A7A27"/>
    <w:rsid w:val="007B75B2"/>
    <w:rsid w:val="007C1B0D"/>
    <w:rsid w:val="007C667B"/>
    <w:rsid w:val="007F1DAD"/>
    <w:rsid w:val="0080470E"/>
    <w:rsid w:val="00822148"/>
    <w:rsid w:val="008273DB"/>
    <w:rsid w:val="008434CB"/>
    <w:rsid w:val="00867B84"/>
    <w:rsid w:val="00875564"/>
    <w:rsid w:val="008A183C"/>
    <w:rsid w:val="008A2B89"/>
    <w:rsid w:val="008B617F"/>
    <w:rsid w:val="008B7826"/>
    <w:rsid w:val="008E1273"/>
    <w:rsid w:val="008F5FC7"/>
    <w:rsid w:val="008F764D"/>
    <w:rsid w:val="00921629"/>
    <w:rsid w:val="00930E3B"/>
    <w:rsid w:val="0094364B"/>
    <w:rsid w:val="00962EC6"/>
    <w:rsid w:val="00964BD8"/>
    <w:rsid w:val="00972721"/>
    <w:rsid w:val="009802DC"/>
    <w:rsid w:val="00990D4F"/>
    <w:rsid w:val="009A14C7"/>
    <w:rsid w:val="009D1CDF"/>
    <w:rsid w:val="009E672B"/>
    <w:rsid w:val="00A06A9E"/>
    <w:rsid w:val="00A13B63"/>
    <w:rsid w:val="00A21738"/>
    <w:rsid w:val="00A612B8"/>
    <w:rsid w:val="00A941AC"/>
    <w:rsid w:val="00A978B2"/>
    <w:rsid w:val="00AA1808"/>
    <w:rsid w:val="00AB30E2"/>
    <w:rsid w:val="00AC3EB1"/>
    <w:rsid w:val="00AD2E2F"/>
    <w:rsid w:val="00AD53B2"/>
    <w:rsid w:val="00AF32DA"/>
    <w:rsid w:val="00AF5802"/>
    <w:rsid w:val="00B05F5F"/>
    <w:rsid w:val="00B1187B"/>
    <w:rsid w:val="00B1699F"/>
    <w:rsid w:val="00B22A93"/>
    <w:rsid w:val="00B30A09"/>
    <w:rsid w:val="00B42EA9"/>
    <w:rsid w:val="00B4797D"/>
    <w:rsid w:val="00B533AD"/>
    <w:rsid w:val="00B664EC"/>
    <w:rsid w:val="00B77B0C"/>
    <w:rsid w:val="00B80332"/>
    <w:rsid w:val="00B8496A"/>
    <w:rsid w:val="00BC4FC0"/>
    <w:rsid w:val="00BD7864"/>
    <w:rsid w:val="00BE0736"/>
    <w:rsid w:val="00BE1E09"/>
    <w:rsid w:val="00BF5CE0"/>
    <w:rsid w:val="00C045DE"/>
    <w:rsid w:val="00C20650"/>
    <w:rsid w:val="00C3221A"/>
    <w:rsid w:val="00C41C79"/>
    <w:rsid w:val="00C434FC"/>
    <w:rsid w:val="00C5400C"/>
    <w:rsid w:val="00C675D8"/>
    <w:rsid w:val="00C8080F"/>
    <w:rsid w:val="00C93EEA"/>
    <w:rsid w:val="00C968F8"/>
    <w:rsid w:val="00CC53CC"/>
    <w:rsid w:val="00D004D0"/>
    <w:rsid w:val="00D04FBC"/>
    <w:rsid w:val="00D14197"/>
    <w:rsid w:val="00D232F6"/>
    <w:rsid w:val="00D25EEF"/>
    <w:rsid w:val="00D26580"/>
    <w:rsid w:val="00D26A4E"/>
    <w:rsid w:val="00D30C0B"/>
    <w:rsid w:val="00D33DA6"/>
    <w:rsid w:val="00D54A6A"/>
    <w:rsid w:val="00D618CB"/>
    <w:rsid w:val="00D87B68"/>
    <w:rsid w:val="00D902C8"/>
    <w:rsid w:val="00D90828"/>
    <w:rsid w:val="00DB799D"/>
    <w:rsid w:val="00DD1267"/>
    <w:rsid w:val="00E0402F"/>
    <w:rsid w:val="00E31F4F"/>
    <w:rsid w:val="00E40AF4"/>
    <w:rsid w:val="00E81C6C"/>
    <w:rsid w:val="00EB3306"/>
    <w:rsid w:val="00EB43C2"/>
    <w:rsid w:val="00EC573C"/>
    <w:rsid w:val="00EC7DDF"/>
    <w:rsid w:val="00ED749F"/>
    <w:rsid w:val="00EE16C8"/>
    <w:rsid w:val="00EE2549"/>
    <w:rsid w:val="00EE7377"/>
    <w:rsid w:val="00EE79F9"/>
    <w:rsid w:val="00EE7D64"/>
    <w:rsid w:val="00F15211"/>
    <w:rsid w:val="00F242B1"/>
    <w:rsid w:val="00F303E6"/>
    <w:rsid w:val="00F61880"/>
    <w:rsid w:val="00F63E8E"/>
    <w:rsid w:val="00F845FF"/>
    <w:rsid w:val="00F953C3"/>
    <w:rsid w:val="00FB41CE"/>
    <w:rsid w:val="00FD4A24"/>
    <w:rsid w:val="00FF16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62E3"/>
  <w15:chartTrackingRefBased/>
  <w15:docId w15:val="{175B0FBD-3003-497A-B2E4-2D557EA6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31F4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E31F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31F4F"/>
    <w:rPr>
      <w:color w:val="0000FF"/>
      <w:u w:val="single"/>
    </w:rPr>
  </w:style>
  <w:style w:type="paragraph" w:styleId="TJ1">
    <w:name w:val="toc 1"/>
    <w:basedOn w:val="Norml"/>
    <w:next w:val="Norml"/>
    <w:autoRedefine/>
    <w:uiPriority w:val="39"/>
    <w:unhideWhenUsed/>
    <w:rsid w:val="00E31F4F"/>
  </w:style>
  <w:style w:type="paragraph" w:styleId="TJ2">
    <w:name w:val="toc 2"/>
    <w:basedOn w:val="Norml"/>
    <w:next w:val="Norml"/>
    <w:autoRedefine/>
    <w:uiPriority w:val="39"/>
    <w:unhideWhenUsed/>
    <w:rsid w:val="00E31F4F"/>
    <w:pPr>
      <w:ind w:left="240"/>
    </w:pPr>
  </w:style>
  <w:style w:type="paragraph" w:styleId="TJ3">
    <w:name w:val="toc 3"/>
    <w:basedOn w:val="Norml"/>
    <w:next w:val="Norml"/>
    <w:autoRedefine/>
    <w:uiPriority w:val="39"/>
    <w:unhideWhenUsed/>
    <w:rsid w:val="00E31F4F"/>
    <w:pPr>
      <w:ind w:left="480"/>
    </w:pPr>
  </w:style>
  <w:style w:type="paragraph" w:styleId="llb">
    <w:name w:val="footer"/>
    <w:basedOn w:val="Norml"/>
    <w:link w:val="llbChar"/>
    <w:uiPriority w:val="99"/>
    <w:unhideWhenUsed/>
    <w:rsid w:val="00E31F4F"/>
    <w:pPr>
      <w:tabs>
        <w:tab w:val="center" w:pos="4536"/>
        <w:tab w:val="right" w:pos="9072"/>
      </w:tabs>
    </w:pPr>
  </w:style>
  <w:style w:type="character" w:customStyle="1" w:styleId="llbChar">
    <w:name w:val="Élőláb Char"/>
    <w:basedOn w:val="Bekezdsalapbettpusa"/>
    <w:link w:val="llb"/>
    <w:uiPriority w:val="99"/>
    <w:rsid w:val="00E31F4F"/>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E31F4F"/>
    <w:pPr>
      <w:ind w:left="720"/>
      <w:contextualSpacing/>
    </w:pPr>
  </w:style>
  <w:style w:type="character" w:customStyle="1" w:styleId="Cmsor1Char">
    <w:name w:val="Címsor 1 Char"/>
    <w:basedOn w:val="Bekezdsalapbettpusa"/>
    <w:link w:val="Cmsor1"/>
    <w:uiPriority w:val="9"/>
    <w:rsid w:val="00E31F4F"/>
    <w:rPr>
      <w:rFonts w:asciiTheme="majorHAnsi" w:eastAsiaTheme="majorEastAsia" w:hAnsiTheme="majorHAnsi" w:cstheme="majorBidi"/>
      <w:color w:val="2F5496" w:themeColor="accent1" w:themeShade="BF"/>
      <w:sz w:val="32"/>
      <w:szCs w:val="32"/>
      <w:lang w:eastAsia="hu-HU"/>
    </w:rPr>
  </w:style>
  <w:style w:type="paragraph" w:styleId="Tartalomjegyzkcmsora">
    <w:name w:val="TOC Heading"/>
    <w:basedOn w:val="Cmsor1"/>
    <w:next w:val="Norml"/>
    <w:uiPriority w:val="39"/>
    <w:semiHidden/>
    <w:unhideWhenUsed/>
    <w:qFormat/>
    <w:rsid w:val="00E31F4F"/>
    <w:pPr>
      <w:spacing w:before="480" w:line="276" w:lineRule="auto"/>
      <w:outlineLvl w:val="9"/>
    </w:pPr>
    <w:rPr>
      <w:b/>
      <w:bCs/>
      <w:sz w:val="28"/>
      <w:szCs w:val="28"/>
    </w:rPr>
  </w:style>
  <w:style w:type="character" w:customStyle="1" w:styleId="fontstyle01">
    <w:name w:val="fontstyle01"/>
    <w:basedOn w:val="Bekezdsalapbettpusa"/>
    <w:rsid w:val="00E31F4F"/>
    <w:rPr>
      <w:rFonts w:ascii="MyriadPro-It" w:hAnsi="MyriadPro-It" w:hint="default"/>
      <w:b w:val="0"/>
      <w:bCs w:val="0"/>
      <w:i/>
      <w:iCs/>
      <w:color w:val="242021"/>
      <w:sz w:val="18"/>
      <w:szCs w:val="18"/>
    </w:rPr>
  </w:style>
  <w:style w:type="character" w:customStyle="1" w:styleId="fontstyle21">
    <w:name w:val="fontstyle21"/>
    <w:basedOn w:val="Bekezdsalapbettpusa"/>
    <w:rsid w:val="00E31F4F"/>
    <w:rPr>
      <w:rFonts w:ascii="MyriadPro-Regular" w:hAnsi="MyriadPro-Regular" w:hint="default"/>
      <w:b w:val="0"/>
      <w:bCs w:val="0"/>
      <w:i w:val="0"/>
      <w:iCs w:val="0"/>
      <w:color w:val="242021"/>
      <w:sz w:val="18"/>
      <w:szCs w:val="18"/>
    </w:rPr>
  </w:style>
  <w:style w:type="character" w:styleId="Jegyzethivatkozs">
    <w:name w:val="annotation reference"/>
    <w:basedOn w:val="Bekezdsalapbettpusa"/>
    <w:uiPriority w:val="99"/>
    <w:semiHidden/>
    <w:unhideWhenUsed/>
    <w:rsid w:val="006804FD"/>
    <w:rPr>
      <w:sz w:val="16"/>
      <w:szCs w:val="16"/>
    </w:rPr>
  </w:style>
  <w:style w:type="paragraph" w:styleId="Jegyzetszveg">
    <w:name w:val="annotation text"/>
    <w:basedOn w:val="Norml"/>
    <w:link w:val="JegyzetszvegChar"/>
    <w:uiPriority w:val="99"/>
    <w:semiHidden/>
    <w:unhideWhenUsed/>
    <w:rsid w:val="006804FD"/>
    <w:rPr>
      <w:sz w:val="20"/>
      <w:szCs w:val="20"/>
    </w:rPr>
  </w:style>
  <w:style w:type="character" w:customStyle="1" w:styleId="JegyzetszvegChar">
    <w:name w:val="Jegyzetszöveg Char"/>
    <w:basedOn w:val="Bekezdsalapbettpusa"/>
    <w:link w:val="Jegyzetszveg"/>
    <w:uiPriority w:val="99"/>
    <w:semiHidden/>
    <w:rsid w:val="006804F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804FD"/>
    <w:rPr>
      <w:b/>
      <w:bCs/>
    </w:rPr>
  </w:style>
  <w:style w:type="character" w:customStyle="1" w:styleId="MegjegyzstrgyaChar">
    <w:name w:val="Megjegyzés tárgya Char"/>
    <w:basedOn w:val="JegyzetszvegChar"/>
    <w:link w:val="Megjegyzstrgya"/>
    <w:uiPriority w:val="99"/>
    <w:semiHidden/>
    <w:rsid w:val="006804FD"/>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6804F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804FD"/>
    <w:rPr>
      <w:rFonts w:ascii="Segoe UI" w:eastAsia="Times New Roman" w:hAnsi="Segoe UI" w:cs="Segoe UI"/>
      <w:sz w:val="18"/>
      <w:szCs w:val="18"/>
      <w:lang w:eastAsia="hu-HU"/>
    </w:rPr>
  </w:style>
  <w:style w:type="paragraph" w:customStyle="1" w:styleId="xmsonormal">
    <w:name w:val="x_msonormal"/>
    <w:basedOn w:val="Norml"/>
    <w:rsid w:val="00417A5B"/>
    <w:pPr>
      <w:spacing w:before="100" w:beforeAutospacing="1" w:after="100" w:afterAutospacing="1"/>
    </w:pPr>
    <w:rPr>
      <w:rFonts w:ascii="Calibri" w:eastAsiaTheme="minorHAnsi" w:hAnsi="Calibri" w:cs="Calibri"/>
      <w:sz w:val="22"/>
      <w:szCs w:val="22"/>
    </w:rPr>
  </w:style>
  <w:style w:type="paragraph" w:customStyle="1" w:styleId="Bekezds">
    <w:name w:val="Bekezdés"/>
    <w:uiPriority w:val="99"/>
    <w:rsid w:val="001E7AF1"/>
    <w:pPr>
      <w:widowControl w:val="0"/>
      <w:autoSpaceDE w:val="0"/>
      <w:autoSpaceDN w:val="0"/>
      <w:adjustRightInd w:val="0"/>
      <w:spacing w:after="0" w:line="240" w:lineRule="auto"/>
      <w:ind w:firstLine="202"/>
    </w:pPr>
    <w:rPr>
      <w:rFonts w:ascii="Times New Roman" w:eastAsiaTheme="minorEastAsia" w:hAnsi="Times New Roman" w:cs="Times New Roman"/>
      <w:sz w:val="24"/>
      <w:szCs w:val="24"/>
      <w:lang w:eastAsia="hu-HU"/>
    </w:rPr>
  </w:style>
  <w:style w:type="paragraph" w:customStyle="1" w:styleId="FejezetCm">
    <w:name w:val="FejezetCím"/>
    <w:uiPriority w:val="99"/>
    <w:rsid w:val="001E7AF1"/>
    <w:pPr>
      <w:widowControl w:val="0"/>
      <w:autoSpaceDE w:val="0"/>
      <w:autoSpaceDN w:val="0"/>
      <w:adjustRightInd w:val="0"/>
      <w:spacing w:before="480" w:after="240" w:line="240" w:lineRule="auto"/>
      <w:jc w:val="center"/>
      <w:outlineLvl w:val="2"/>
    </w:pPr>
    <w:rPr>
      <w:rFonts w:ascii="Times New Roman" w:eastAsiaTheme="minorEastAsia" w:hAnsi="Times New Roman" w:cs="Times New Roman"/>
      <w:b/>
      <w:bCs/>
      <w:i/>
      <w:iCs/>
      <w:sz w:val="24"/>
      <w:szCs w:val="24"/>
      <w:lang w:eastAsia="hu-HU"/>
    </w:rPr>
  </w:style>
  <w:style w:type="paragraph" w:customStyle="1" w:styleId="MellkletCm">
    <w:name w:val="MellékletCím"/>
    <w:uiPriority w:val="99"/>
    <w:rsid w:val="001E7AF1"/>
    <w:pPr>
      <w:widowControl w:val="0"/>
      <w:autoSpaceDE w:val="0"/>
      <w:autoSpaceDN w:val="0"/>
      <w:adjustRightInd w:val="0"/>
      <w:spacing w:before="480" w:after="240" w:line="240" w:lineRule="auto"/>
      <w:outlineLvl w:val="2"/>
    </w:pPr>
    <w:rPr>
      <w:rFonts w:ascii="Times New Roman" w:eastAsiaTheme="minorEastAsia" w:hAnsi="Times New Roman" w:cs="Times New Roman"/>
      <w:i/>
      <w:iCs/>
      <w:sz w:val="24"/>
      <w:szCs w:val="24"/>
      <w:u w:val="single"/>
      <w:lang w:eastAsia="hu-HU"/>
    </w:rPr>
  </w:style>
  <w:style w:type="paragraph" w:styleId="lfej">
    <w:name w:val="header"/>
    <w:basedOn w:val="Norml"/>
    <w:link w:val="lfejChar"/>
    <w:uiPriority w:val="99"/>
    <w:unhideWhenUsed/>
    <w:rsid w:val="001E7AF1"/>
    <w:pPr>
      <w:tabs>
        <w:tab w:val="center" w:pos="4536"/>
        <w:tab w:val="right" w:pos="9072"/>
      </w:tabs>
    </w:pPr>
  </w:style>
  <w:style w:type="character" w:customStyle="1" w:styleId="lfejChar">
    <w:name w:val="Élőfej Char"/>
    <w:basedOn w:val="Bekezdsalapbettpusa"/>
    <w:link w:val="lfej"/>
    <w:uiPriority w:val="99"/>
    <w:rsid w:val="001E7AF1"/>
    <w:rPr>
      <w:rFonts w:ascii="Times New Roman" w:eastAsia="Times New Roman" w:hAnsi="Times New Roman" w:cs="Times New Roman"/>
      <w:sz w:val="24"/>
      <w:szCs w:val="24"/>
      <w:lang w:eastAsia="hu-HU"/>
    </w:rPr>
  </w:style>
  <w:style w:type="paragraph" w:customStyle="1" w:styleId="NormlCm">
    <w:name w:val="NormálCím"/>
    <w:uiPriority w:val="99"/>
    <w:rsid w:val="00F242B1"/>
    <w:pPr>
      <w:widowControl w:val="0"/>
      <w:autoSpaceDE w:val="0"/>
      <w:autoSpaceDN w:val="0"/>
      <w:adjustRightInd w:val="0"/>
      <w:spacing w:before="480" w:after="240" w:line="240" w:lineRule="auto"/>
      <w:jc w:val="center"/>
      <w:outlineLvl w:val="3"/>
    </w:pPr>
    <w:rPr>
      <w:rFonts w:ascii="Times New Roman" w:eastAsiaTheme="minorEastAsia" w:hAnsi="Times New Roman" w:cs="Times New Roman"/>
      <w:sz w:val="24"/>
      <w:szCs w:val="24"/>
      <w:lang w:eastAsia="hu-HU"/>
    </w:rPr>
  </w:style>
  <w:style w:type="character" w:styleId="Kiemels2">
    <w:name w:val="Strong"/>
    <w:basedOn w:val="Bekezdsalapbettpusa"/>
    <w:uiPriority w:val="22"/>
    <w:qFormat/>
    <w:rsid w:val="008B617F"/>
    <w:rPr>
      <w:b/>
      <w:bCs/>
    </w:rPr>
  </w:style>
  <w:style w:type="character" w:customStyle="1" w:styleId="texttranslationoverride">
    <w:name w:val="texttranslationoverride"/>
    <w:basedOn w:val="Bekezdsalapbettpusa"/>
    <w:rsid w:val="008B617F"/>
  </w:style>
  <w:style w:type="paragraph" w:styleId="NormlWeb">
    <w:name w:val="Normal (Web)"/>
    <w:basedOn w:val="Norml"/>
    <w:uiPriority w:val="99"/>
    <w:semiHidden/>
    <w:unhideWhenUsed/>
    <w:rsid w:val="00627A6B"/>
  </w:style>
  <w:style w:type="paragraph" w:customStyle="1" w:styleId="FCm">
    <w:name w:val="FôCím"/>
    <w:uiPriority w:val="99"/>
    <w:rsid w:val="00732D1D"/>
    <w:pPr>
      <w:widowControl w:val="0"/>
      <w:autoSpaceDE w:val="0"/>
      <w:autoSpaceDN w:val="0"/>
      <w:adjustRightInd w:val="0"/>
      <w:spacing w:before="480" w:after="240" w:line="240" w:lineRule="auto"/>
      <w:jc w:val="center"/>
      <w:outlineLvl w:val="1"/>
    </w:pPr>
    <w:rPr>
      <w:rFonts w:ascii="Times New Roman" w:eastAsiaTheme="minorEastAsia" w:hAnsi="Times New Roman" w:cs="Times New Roman"/>
      <w:b/>
      <w:bCs/>
      <w:sz w:val="28"/>
      <w:szCs w:val="28"/>
      <w:lang w:eastAsia="hu-HU"/>
    </w:rPr>
  </w:style>
  <w:style w:type="character" w:styleId="Feloldatlanmegemlts">
    <w:name w:val="Unresolved Mention"/>
    <w:basedOn w:val="Bekezdsalapbettpusa"/>
    <w:uiPriority w:val="99"/>
    <w:semiHidden/>
    <w:unhideWhenUsed/>
    <w:rsid w:val="00415AD6"/>
    <w:rPr>
      <w:color w:val="605E5C"/>
      <w:shd w:val="clear" w:color="auto" w:fill="E1DFDD"/>
    </w:rPr>
  </w:style>
  <w:style w:type="character" w:customStyle="1" w:styleId="fontstyle31">
    <w:name w:val="fontstyle31"/>
    <w:basedOn w:val="Bekezdsalapbettpusa"/>
    <w:rsid w:val="00415AD6"/>
    <w:rPr>
      <w:rFonts w:ascii="UniCredit-Bold" w:hAnsi="UniCredit-Bold" w:hint="default"/>
      <w:b/>
      <w:bCs/>
      <w:i w:val="0"/>
      <w:iCs w:val="0"/>
      <w:color w:val="000000"/>
      <w:sz w:val="22"/>
      <w:szCs w:val="22"/>
    </w:rPr>
  </w:style>
  <w:style w:type="paragraph" w:styleId="Szvegtrzs">
    <w:name w:val="Body Text"/>
    <w:basedOn w:val="Norml"/>
    <w:link w:val="SzvegtrzsChar"/>
    <w:uiPriority w:val="99"/>
    <w:semiHidden/>
    <w:unhideWhenUsed/>
    <w:rsid w:val="00415AD6"/>
    <w:pPr>
      <w:jc w:val="both"/>
    </w:pPr>
    <w:rPr>
      <w:rFonts w:eastAsiaTheme="minorHAnsi"/>
      <w:sz w:val="26"/>
      <w:szCs w:val="26"/>
      <w:lang w:eastAsia="ar-SA"/>
    </w:rPr>
  </w:style>
  <w:style w:type="character" w:customStyle="1" w:styleId="SzvegtrzsChar">
    <w:name w:val="Szövegtörzs Char"/>
    <w:basedOn w:val="Bekezdsalapbettpusa"/>
    <w:link w:val="Szvegtrzs"/>
    <w:uiPriority w:val="99"/>
    <w:semiHidden/>
    <w:rsid w:val="00415AD6"/>
    <w:rPr>
      <w:rFonts w:ascii="Times New Roman" w:hAnsi="Times New Roman" w:cs="Times New Roman"/>
      <w:sz w:val="26"/>
      <w:szCs w:val="26"/>
      <w:lang w:eastAsia="ar-SA"/>
    </w:rPr>
  </w:style>
  <w:style w:type="character" w:styleId="Mrltotthiperhivatkozs">
    <w:name w:val="FollowedHyperlink"/>
    <w:basedOn w:val="Bekezdsalapbettpusa"/>
    <w:uiPriority w:val="99"/>
    <w:semiHidden/>
    <w:unhideWhenUsed/>
    <w:rsid w:val="00D25EEF"/>
    <w:rPr>
      <w:color w:val="954F72" w:themeColor="followedHyperlink"/>
      <w:u w:val="single"/>
    </w:rPr>
  </w:style>
  <w:style w:type="character" w:customStyle="1" w:styleId="highlighted">
    <w:name w:val="highlighted"/>
    <w:basedOn w:val="Bekezdsalapbettpusa"/>
    <w:rsid w:val="001A72B0"/>
  </w:style>
  <w:style w:type="paragraph" w:styleId="Vltozat">
    <w:name w:val="Revision"/>
    <w:hidden/>
    <w:uiPriority w:val="99"/>
    <w:semiHidden/>
    <w:rsid w:val="001A7CDC"/>
    <w:pPr>
      <w:spacing w:after="0"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uiPriority w:val="99"/>
    <w:semiHidden/>
    <w:unhideWhenUsed/>
    <w:rsid w:val="00BE0736"/>
  </w:style>
  <w:style w:type="table" w:styleId="Rcsostblzat">
    <w:name w:val="Table Grid"/>
    <w:basedOn w:val="Normltblzat"/>
    <w:uiPriority w:val="39"/>
    <w:rsid w:val="00ED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1">
    <w:name w:val="Plain Table 1"/>
    <w:basedOn w:val="Normltblzat"/>
    <w:uiPriority w:val="41"/>
    <w:rsid w:val="00ED74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f0">
    <w:name w:val="cf0"/>
    <w:basedOn w:val="Norml"/>
    <w:uiPriority w:val="99"/>
    <w:rsid w:val="00ED749F"/>
    <w:pPr>
      <w:spacing w:before="100" w:beforeAutospacing="1" w:after="100" w:afterAutospacing="1"/>
    </w:pPr>
  </w:style>
  <w:style w:type="paragraph" w:styleId="Normlbehzs">
    <w:name w:val="Normal Indent"/>
    <w:basedOn w:val="Norml"/>
    <w:rsid w:val="00770666"/>
    <w:pPr>
      <w:spacing w:after="120"/>
      <w:ind w:left="567"/>
      <w:jc w:val="both"/>
    </w:pPr>
    <w:rPr>
      <w:szCs w:val="20"/>
      <w:lang w:eastAsia="en-US"/>
    </w:rPr>
  </w:style>
  <w:style w:type="paragraph" w:customStyle="1" w:styleId="Doctitle">
    <w:name w:val="Doc. title"/>
    <w:basedOn w:val="Norml"/>
    <w:rsid w:val="00770666"/>
    <w:pPr>
      <w:spacing w:after="120"/>
      <w:jc w:val="center"/>
    </w:pPr>
    <w:rPr>
      <w:b/>
      <w:smallCap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7369">
      <w:bodyDiv w:val="1"/>
      <w:marLeft w:val="0"/>
      <w:marRight w:val="0"/>
      <w:marTop w:val="0"/>
      <w:marBottom w:val="0"/>
      <w:divBdr>
        <w:top w:val="none" w:sz="0" w:space="0" w:color="auto"/>
        <w:left w:val="none" w:sz="0" w:space="0" w:color="auto"/>
        <w:bottom w:val="none" w:sz="0" w:space="0" w:color="auto"/>
        <w:right w:val="none" w:sz="0" w:space="0" w:color="auto"/>
      </w:divBdr>
    </w:div>
    <w:div w:id="492961812">
      <w:bodyDiv w:val="1"/>
      <w:marLeft w:val="0"/>
      <w:marRight w:val="0"/>
      <w:marTop w:val="0"/>
      <w:marBottom w:val="0"/>
      <w:divBdr>
        <w:top w:val="none" w:sz="0" w:space="0" w:color="auto"/>
        <w:left w:val="none" w:sz="0" w:space="0" w:color="auto"/>
        <w:bottom w:val="none" w:sz="0" w:space="0" w:color="auto"/>
        <w:right w:val="none" w:sz="0" w:space="0" w:color="auto"/>
      </w:divBdr>
      <w:divsChild>
        <w:div w:id="153381051">
          <w:marLeft w:val="0"/>
          <w:marRight w:val="0"/>
          <w:marTop w:val="0"/>
          <w:marBottom w:val="0"/>
          <w:divBdr>
            <w:top w:val="none" w:sz="0" w:space="0" w:color="auto"/>
            <w:left w:val="none" w:sz="0" w:space="0" w:color="auto"/>
            <w:bottom w:val="none" w:sz="0" w:space="0" w:color="auto"/>
            <w:right w:val="none" w:sz="0" w:space="0" w:color="auto"/>
          </w:divBdr>
          <w:divsChild>
            <w:div w:id="1630478579">
              <w:marLeft w:val="0"/>
              <w:marRight w:val="0"/>
              <w:marTop w:val="0"/>
              <w:marBottom w:val="0"/>
              <w:divBdr>
                <w:top w:val="none" w:sz="0" w:space="0" w:color="auto"/>
                <w:left w:val="none" w:sz="0" w:space="0" w:color="auto"/>
                <w:bottom w:val="none" w:sz="0" w:space="0" w:color="auto"/>
                <w:right w:val="none" w:sz="0" w:space="0" w:color="auto"/>
              </w:divBdr>
              <w:divsChild>
                <w:div w:id="1564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7398">
          <w:marLeft w:val="0"/>
          <w:marRight w:val="0"/>
          <w:marTop w:val="0"/>
          <w:marBottom w:val="0"/>
          <w:divBdr>
            <w:top w:val="none" w:sz="0" w:space="0" w:color="auto"/>
            <w:left w:val="none" w:sz="0" w:space="0" w:color="auto"/>
            <w:bottom w:val="none" w:sz="0" w:space="0" w:color="auto"/>
            <w:right w:val="none" w:sz="0" w:space="0" w:color="auto"/>
          </w:divBdr>
          <w:divsChild>
            <w:div w:id="19500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7930">
      <w:bodyDiv w:val="1"/>
      <w:marLeft w:val="0"/>
      <w:marRight w:val="0"/>
      <w:marTop w:val="0"/>
      <w:marBottom w:val="0"/>
      <w:divBdr>
        <w:top w:val="none" w:sz="0" w:space="0" w:color="auto"/>
        <w:left w:val="none" w:sz="0" w:space="0" w:color="auto"/>
        <w:bottom w:val="none" w:sz="0" w:space="0" w:color="auto"/>
        <w:right w:val="none" w:sz="0" w:space="0" w:color="auto"/>
      </w:divBdr>
    </w:div>
    <w:div w:id="954558035">
      <w:bodyDiv w:val="1"/>
      <w:marLeft w:val="0"/>
      <w:marRight w:val="0"/>
      <w:marTop w:val="0"/>
      <w:marBottom w:val="0"/>
      <w:divBdr>
        <w:top w:val="none" w:sz="0" w:space="0" w:color="auto"/>
        <w:left w:val="none" w:sz="0" w:space="0" w:color="auto"/>
        <w:bottom w:val="none" w:sz="0" w:space="0" w:color="auto"/>
        <w:right w:val="none" w:sz="0" w:space="0" w:color="auto"/>
      </w:divBdr>
    </w:div>
    <w:div w:id="1320571886">
      <w:bodyDiv w:val="1"/>
      <w:marLeft w:val="0"/>
      <w:marRight w:val="0"/>
      <w:marTop w:val="0"/>
      <w:marBottom w:val="0"/>
      <w:divBdr>
        <w:top w:val="none" w:sz="0" w:space="0" w:color="auto"/>
        <w:left w:val="none" w:sz="0" w:space="0" w:color="auto"/>
        <w:bottom w:val="none" w:sz="0" w:space="0" w:color="auto"/>
        <w:right w:val="none" w:sz="0" w:space="0" w:color="auto"/>
      </w:divBdr>
    </w:div>
    <w:div w:id="1355426441">
      <w:bodyDiv w:val="1"/>
      <w:marLeft w:val="0"/>
      <w:marRight w:val="0"/>
      <w:marTop w:val="0"/>
      <w:marBottom w:val="0"/>
      <w:divBdr>
        <w:top w:val="none" w:sz="0" w:space="0" w:color="auto"/>
        <w:left w:val="none" w:sz="0" w:space="0" w:color="auto"/>
        <w:bottom w:val="none" w:sz="0" w:space="0" w:color="auto"/>
        <w:right w:val="none" w:sz="0" w:space="0" w:color="auto"/>
      </w:divBdr>
    </w:div>
    <w:div w:id="1666278444">
      <w:bodyDiv w:val="1"/>
      <w:marLeft w:val="0"/>
      <w:marRight w:val="0"/>
      <w:marTop w:val="0"/>
      <w:marBottom w:val="0"/>
      <w:divBdr>
        <w:top w:val="none" w:sz="0" w:space="0" w:color="auto"/>
        <w:left w:val="none" w:sz="0" w:space="0" w:color="auto"/>
        <w:bottom w:val="none" w:sz="0" w:space="0" w:color="auto"/>
        <w:right w:val="none" w:sz="0" w:space="0" w:color="auto"/>
      </w:divBdr>
    </w:div>
    <w:div w:id="1695381909">
      <w:bodyDiv w:val="1"/>
      <w:marLeft w:val="0"/>
      <w:marRight w:val="0"/>
      <w:marTop w:val="0"/>
      <w:marBottom w:val="0"/>
      <w:divBdr>
        <w:top w:val="none" w:sz="0" w:space="0" w:color="auto"/>
        <w:left w:val="none" w:sz="0" w:space="0" w:color="auto"/>
        <w:bottom w:val="none" w:sz="0" w:space="0" w:color="auto"/>
        <w:right w:val="none" w:sz="0" w:space="0" w:color="auto"/>
      </w:divBdr>
      <w:divsChild>
        <w:div w:id="58285771">
          <w:marLeft w:val="0"/>
          <w:marRight w:val="0"/>
          <w:marTop w:val="0"/>
          <w:marBottom w:val="0"/>
          <w:divBdr>
            <w:top w:val="none" w:sz="0" w:space="0" w:color="auto"/>
            <w:left w:val="none" w:sz="0" w:space="0" w:color="auto"/>
            <w:bottom w:val="none" w:sz="0" w:space="0" w:color="auto"/>
            <w:right w:val="none" w:sz="0" w:space="0" w:color="auto"/>
          </w:divBdr>
          <w:divsChild>
            <w:div w:id="130369151">
              <w:marLeft w:val="0"/>
              <w:marRight w:val="0"/>
              <w:marTop w:val="0"/>
              <w:marBottom w:val="0"/>
              <w:divBdr>
                <w:top w:val="none" w:sz="0" w:space="0" w:color="auto"/>
                <w:left w:val="none" w:sz="0" w:space="0" w:color="auto"/>
                <w:bottom w:val="none" w:sz="0" w:space="0" w:color="auto"/>
                <w:right w:val="none" w:sz="0" w:space="0" w:color="auto"/>
              </w:divBdr>
              <w:divsChild>
                <w:div w:id="6272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7504">
          <w:marLeft w:val="0"/>
          <w:marRight w:val="0"/>
          <w:marTop w:val="0"/>
          <w:marBottom w:val="0"/>
          <w:divBdr>
            <w:top w:val="none" w:sz="0" w:space="0" w:color="auto"/>
            <w:left w:val="none" w:sz="0" w:space="0" w:color="auto"/>
            <w:bottom w:val="none" w:sz="0" w:space="0" w:color="auto"/>
            <w:right w:val="none" w:sz="0" w:space="0" w:color="auto"/>
          </w:divBdr>
          <w:divsChild>
            <w:div w:id="78063429">
              <w:marLeft w:val="0"/>
              <w:marRight w:val="0"/>
              <w:marTop w:val="0"/>
              <w:marBottom w:val="0"/>
              <w:divBdr>
                <w:top w:val="none" w:sz="0" w:space="0" w:color="auto"/>
                <w:left w:val="none" w:sz="0" w:space="0" w:color="auto"/>
                <w:bottom w:val="none" w:sz="0" w:space="0" w:color="auto"/>
                <w:right w:val="none" w:sz="0" w:space="0" w:color="auto"/>
              </w:divBdr>
              <w:divsChild>
                <w:div w:id="653219773">
                  <w:marLeft w:val="0"/>
                  <w:marRight w:val="0"/>
                  <w:marTop w:val="0"/>
                  <w:marBottom w:val="0"/>
                  <w:divBdr>
                    <w:top w:val="none" w:sz="0" w:space="0" w:color="auto"/>
                    <w:left w:val="none" w:sz="0" w:space="0" w:color="auto"/>
                    <w:bottom w:val="none" w:sz="0" w:space="0" w:color="auto"/>
                    <w:right w:val="none" w:sz="0" w:space="0" w:color="auto"/>
                  </w:divBdr>
                </w:div>
                <w:div w:id="1947350155">
                  <w:marLeft w:val="0"/>
                  <w:marRight w:val="0"/>
                  <w:marTop w:val="0"/>
                  <w:marBottom w:val="0"/>
                  <w:divBdr>
                    <w:top w:val="none" w:sz="0" w:space="0" w:color="auto"/>
                    <w:left w:val="none" w:sz="0" w:space="0" w:color="auto"/>
                    <w:bottom w:val="none" w:sz="0" w:space="0" w:color="auto"/>
                    <w:right w:val="none" w:sz="0" w:space="0" w:color="auto"/>
                  </w:divBdr>
                </w:div>
                <w:div w:id="1400009742">
                  <w:marLeft w:val="0"/>
                  <w:marRight w:val="0"/>
                  <w:marTop w:val="0"/>
                  <w:marBottom w:val="0"/>
                  <w:divBdr>
                    <w:top w:val="none" w:sz="0" w:space="0" w:color="auto"/>
                    <w:left w:val="none" w:sz="0" w:space="0" w:color="auto"/>
                    <w:bottom w:val="none" w:sz="0" w:space="0" w:color="auto"/>
                    <w:right w:val="none" w:sz="0" w:space="0" w:color="auto"/>
                  </w:divBdr>
                </w:div>
                <w:div w:id="16089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96155">
          <w:marLeft w:val="0"/>
          <w:marRight w:val="0"/>
          <w:marTop w:val="0"/>
          <w:marBottom w:val="0"/>
          <w:divBdr>
            <w:top w:val="none" w:sz="0" w:space="0" w:color="auto"/>
            <w:left w:val="none" w:sz="0" w:space="0" w:color="auto"/>
            <w:bottom w:val="none" w:sz="0" w:space="0" w:color="auto"/>
            <w:right w:val="none" w:sz="0" w:space="0" w:color="auto"/>
          </w:divBdr>
          <w:divsChild>
            <w:div w:id="265236762">
              <w:marLeft w:val="0"/>
              <w:marRight w:val="0"/>
              <w:marTop w:val="0"/>
              <w:marBottom w:val="0"/>
              <w:divBdr>
                <w:top w:val="none" w:sz="0" w:space="0" w:color="auto"/>
                <w:left w:val="none" w:sz="0" w:space="0" w:color="auto"/>
                <w:bottom w:val="none" w:sz="0" w:space="0" w:color="auto"/>
                <w:right w:val="none" w:sz="0" w:space="0" w:color="auto"/>
              </w:divBdr>
              <w:divsChild>
                <w:div w:id="18692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8775">
      <w:bodyDiv w:val="1"/>
      <w:marLeft w:val="0"/>
      <w:marRight w:val="0"/>
      <w:marTop w:val="0"/>
      <w:marBottom w:val="0"/>
      <w:divBdr>
        <w:top w:val="none" w:sz="0" w:space="0" w:color="auto"/>
        <w:left w:val="none" w:sz="0" w:space="0" w:color="auto"/>
        <w:bottom w:val="none" w:sz="0" w:space="0" w:color="auto"/>
        <w:right w:val="none" w:sz="0" w:space="0" w:color="auto"/>
      </w:divBdr>
    </w:div>
    <w:div w:id="1907954761">
      <w:bodyDiv w:val="1"/>
      <w:marLeft w:val="0"/>
      <w:marRight w:val="0"/>
      <w:marTop w:val="0"/>
      <w:marBottom w:val="0"/>
      <w:divBdr>
        <w:top w:val="none" w:sz="0" w:space="0" w:color="auto"/>
        <w:left w:val="none" w:sz="0" w:space="0" w:color="auto"/>
        <w:bottom w:val="none" w:sz="0" w:space="0" w:color="auto"/>
        <w:right w:val="none" w:sz="0" w:space="0" w:color="auto"/>
      </w:divBdr>
    </w:div>
    <w:div w:id="19480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ALL/?uri=CELEX:32019L19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jt.hu/jogszabaly/2023-25-00-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8CBE-2772-4FA3-A76D-370FCA44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9840</Words>
  <Characters>67899</Characters>
  <Application>Microsoft Office Word</Application>
  <DocSecurity>0</DocSecurity>
  <Lines>565</Lines>
  <Paragraphs>155</Paragraphs>
  <ScaleCrop>false</ScaleCrop>
  <HeadingPairs>
    <vt:vector size="2" baseType="variant">
      <vt:variant>
        <vt:lpstr>Cím</vt:lpstr>
      </vt:variant>
      <vt:variant>
        <vt:i4>1</vt:i4>
      </vt:variant>
    </vt:vector>
  </HeadingPairs>
  <TitlesOfParts>
    <vt:vector size="1" baseType="lpstr">
      <vt:lpstr/>
    </vt:vector>
  </TitlesOfParts>
  <Manager/>
  <Company>Csillagászati és Földtudományi Kutatóközpont</Company>
  <LinksUpToDate>false</LinksUpToDate>
  <CharactersWithSpaces>77584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Márton Rózsahegyi</dc:creator>
  <cp:keywords/>
  <dc:description/>
  <cp:lastModifiedBy>Márton Rózsahegyi</cp:lastModifiedBy>
  <cp:revision>5</cp:revision>
  <cp:lastPrinted>2023-08-07T12:30:00Z</cp:lastPrinted>
  <dcterms:created xsi:type="dcterms:W3CDTF">2023-10-04T15:30:00Z</dcterms:created>
  <dcterms:modified xsi:type="dcterms:W3CDTF">2023-10-04T15:52:00Z</dcterms:modified>
  <cp:category/>
</cp:coreProperties>
</file>